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02" w:rsidRPr="000B7F02" w:rsidRDefault="000B7F02" w:rsidP="000B7F02">
      <w:pPr>
        <w:adjustRightInd/>
        <w:snapToGrid/>
        <w:spacing w:before="100" w:beforeAutospacing="1" w:after="100" w:afterAutospacing="1" w:line="360" w:lineRule="auto"/>
        <w:rPr>
          <w:rFonts w:ascii="宋体" w:eastAsia="宋体" w:hAnsi="宋体" w:cs="宋体"/>
          <w:color w:val="000000"/>
          <w:sz w:val="24"/>
          <w:szCs w:val="24"/>
        </w:rPr>
      </w:pPr>
      <w:r w:rsidRPr="000B7F02">
        <w:rPr>
          <w:rFonts w:ascii="宋体" w:eastAsia="宋体" w:hAnsi="宋体" w:cs="宋体" w:hint="eastAsia"/>
          <w:b/>
          <w:bCs/>
          <w:color w:val="000000"/>
          <w:sz w:val="24"/>
          <w:szCs w:val="24"/>
        </w:rPr>
        <w:t>附件1</w:t>
      </w:r>
    </w:p>
    <w:p w:rsidR="000B7F02" w:rsidRPr="000B7F02" w:rsidRDefault="000B7F02" w:rsidP="000B7F02">
      <w:pPr>
        <w:adjustRightInd/>
        <w:snapToGrid/>
        <w:spacing w:before="100" w:beforeAutospacing="1" w:after="100" w:afterAutospacing="1" w:line="360" w:lineRule="auto"/>
        <w:rPr>
          <w:rFonts w:ascii="宋体" w:eastAsia="宋体" w:hAnsi="宋体" w:cs="宋体"/>
          <w:color w:val="000000"/>
          <w:sz w:val="24"/>
          <w:szCs w:val="24"/>
        </w:rPr>
      </w:pPr>
      <w:r w:rsidRPr="000B7F02">
        <w:rPr>
          <w:rFonts w:ascii="宋体" w:eastAsia="宋体" w:hAnsi="宋体" w:cs="宋体" w:hint="eastAsia"/>
          <w:color w:val="000000"/>
          <w:sz w:val="24"/>
          <w:szCs w:val="24"/>
        </w:rPr>
        <w:t> </w:t>
      </w:r>
    </w:p>
    <w:p w:rsidR="000B7F02" w:rsidRPr="000B7F02" w:rsidRDefault="000B7F02" w:rsidP="000B7F02">
      <w:pPr>
        <w:adjustRightInd/>
        <w:snapToGrid/>
        <w:spacing w:before="100" w:beforeAutospacing="1" w:after="100" w:afterAutospacing="1" w:line="360" w:lineRule="auto"/>
        <w:jc w:val="center"/>
        <w:rPr>
          <w:rFonts w:ascii="宋体" w:eastAsia="宋体" w:hAnsi="宋体" w:cs="宋体"/>
          <w:color w:val="000000"/>
          <w:sz w:val="24"/>
          <w:szCs w:val="24"/>
        </w:rPr>
      </w:pPr>
      <w:r w:rsidRPr="000B7F02">
        <w:rPr>
          <w:rFonts w:ascii="宋体" w:eastAsia="宋体" w:hAnsi="宋体" w:cs="宋体" w:hint="eastAsia"/>
          <w:b/>
          <w:bCs/>
          <w:color w:val="000000"/>
          <w:sz w:val="36"/>
          <w:szCs w:val="36"/>
        </w:rPr>
        <w:t>2018年长白朝鲜族自治县</w:t>
      </w:r>
    </w:p>
    <w:p w:rsidR="000B7F02" w:rsidRPr="000B7F02" w:rsidRDefault="000B7F02" w:rsidP="000B7F02">
      <w:pPr>
        <w:adjustRightInd/>
        <w:snapToGrid/>
        <w:spacing w:before="100" w:beforeAutospacing="1" w:after="100" w:afterAutospacing="1" w:line="360" w:lineRule="auto"/>
        <w:jc w:val="center"/>
        <w:rPr>
          <w:rFonts w:ascii="宋体" w:eastAsia="宋体" w:hAnsi="宋体" w:cs="宋体"/>
          <w:color w:val="000000"/>
          <w:sz w:val="24"/>
          <w:szCs w:val="24"/>
        </w:rPr>
      </w:pPr>
      <w:r w:rsidRPr="000B7F02">
        <w:rPr>
          <w:rFonts w:ascii="宋体" w:eastAsia="宋体" w:hAnsi="宋体" w:cs="宋体" w:hint="eastAsia"/>
          <w:b/>
          <w:bCs/>
          <w:color w:val="000000"/>
          <w:sz w:val="36"/>
          <w:szCs w:val="36"/>
        </w:rPr>
        <w:t>城乡居民家庭收入行业测算标准</w:t>
      </w:r>
    </w:p>
    <w:p w:rsidR="000B7F02" w:rsidRPr="000B7F02" w:rsidRDefault="000B7F02" w:rsidP="000B7F02">
      <w:pPr>
        <w:adjustRightInd/>
        <w:snapToGrid/>
        <w:spacing w:before="100" w:beforeAutospacing="1" w:after="100" w:afterAutospacing="1" w:line="360" w:lineRule="auto"/>
        <w:rPr>
          <w:rFonts w:ascii="宋体" w:eastAsia="宋体" w:hAnsi="宋体" w:cs="宋体"/>
          <w:color w:val="000000"/>
          <w:sz w:val="24"/>
          <w:szCs w:val="24"/>
        </w:rPr>
      </w:pPr>
      <w:r w:rsidRPr="000B7F02">
        <w:rPr>
          <w:rFonts w:ascii="宋体" w:eastAsia="宋体" w:hAnsi="宋体" w:cs="宋体" w:hint="eastAsia"/>
          <w:color w:val="000000"/>
          <w:sz w:val="24"/>
          <w:szCs w:val="24"/>
        </w:rPr>
        <w:t> </w:t>
      </w:r>
    </w:p>
    <w:p w:rsidR="000B7F02" w:rsidRPr="000B7F02" w:rsidRDefault="000B7F02" w:rsidP="000B7F02">
      <w:pPr>
        <w:adjustRightInd/>
        <w:snapToGrid/>
        <w:spacing w:before="100" w:beforeAutospacing="1" w:after="100" w:afterAutospacing="1" w:line="360" w:lineRule="auto"/>
        <w:ind w:firstLine="482"/>
        <w:rPr>
          <w:rFonts w:ascii="宋体" w:eastAsia="宋体" w:hAnsi="宋体" w:cs="宋体"/>
          <w:color w:val="000000"/>
          <w:sz w:val="24"/>
          <w:szCs w:val="24"/>
        </w:rPr>
      </w:pPr>
      <w:r w:rsidRPr="000B7F02">
        <w:rPr>
          <w:rFonts w:ascii="宋体" w:eastAsia="宋体" w:hAnsi="宋体" w:cs="宋体" w:hint="eastAsia"/>
          <w:b/>
          <w:bCs/>
          <w:color w:val="000000"/>
          <w:sz w:val="24"/>
          <w:szCs w:val="24"/>
        </w:rPr>
        <w:t>一、工资净收入测算</w:t>
      </w:r>
    </w:p>
    <w:p w:rsidR="000B7F02" w:rsidRPr="000B7F02" w:rsidRDefault="000B7F02" w:rsidP="000B7F02">
      <w:pPr>
        <w:adjustRightInd/>
        <w:snapToGrid/>
        <w:spacing w:before="100" w:beforeAutospacing="1" w:after="100" w:afterAutospacing="1" w:line="360" w:lineRule="auto"/>
        <w:ind w:firstLine="480"/>
        <w:rPr>
          <w:rFonts w:ascii="宋体" w:eastAsia="宋体" w:hAnsi="宋体" w:cs="宋体"/>
          <w:color w:val="000000"/>
          <w:sz w:val="24"/>
          <w:szCs w:val="24"/>
        </w:rPr>
      </w:pPr>
      <w:r w:rsidRPr="000B7F02">
        <w:rPr>
          <w:rFonts w:ascii="宋体" w:eastAsia="宋体" w:hAnsi="宋体" w:cs="宋体" w:hint="eastAsia"/>
          <w:color w:val="000000"/>
          <w:sz w:val="24"/>
          <w:szCs w:val="24"/>
        </w:rPr>
        <w:t>按用工单位（经当地劳动保障部门认定）出具的收入证明计算。本人申报收入偏低或无法证明收入的参照测算标准计算：打零工（指6个月以上）80元/天；钟点工80元/天；收废品500元/月；打更800元/月；下水疏通1500元/月；小型客货车司机2000元/月、中型客货车司机3000元/月、重型货挂车司机5000元/月；护理病人1200元/月；护理老人1500元/月；看护儿童1000元/月；做家务1200元/月；搓澡2000元/月；按摩2500元/月；足疗1500元/月；旅、饭店服务员1500元/月。</w:t>
      </w:r>
    </w:p>
    <w:p w:rsidR="000B7F02" w:rsidRPr="000B7F02" w:rsidRDefault="000B7F02" w:rsidP="000B7F02">
      <w:pPr>
        <w:adjustRightInd/>
        <w:snapToGrid/>
        <w:spacing w:before="100" w:beforeAutospacing="1" w:after="100" w:afterAutospacing="1" w:line="360" w:lineRule="auto"/>
        <w:ind w:firstLine="482"/>
        <w:rPr>
          <w:rFonts w:ascii="宋体" w:eastAsia="宋体" w:hAnsi="宋体" w:cs="宋体"/>
          <w:color w:val="000000"/>
          <w:sz w:val="24"/>
          <w:szCs w:val="24"/>
        </w:rPr>
      </w:pPr>
      <w:r w:rsidRPr="000B7F02">
        <w:rPr>
          <w:rFonts w:ascii="宋体" w:eastAsia="宋体" w:hAnsi="宋体" w:cs="宋体" w:hint="eastAsia"/>
          <w:b/>
          <w:bCs/>
          <w:color w:val="000000"/>
          <w:sz w:val="24"/>
          <w:szCs w:val="24"/>
        </w:rPr>
        <w:t>二、经营净收入测算</w:t>
      </w:r>
    </w:p>
    <w:p w:rsidR="000B7F02" w:rsidRPr="000B7F02" w:rsidRDefault="000B7F02" w:rsidP="000B7F02">
      <w:pPr>
        <w:adjustRightInd/>
        <w:snapToGrid/>
        <w:spacing w:before="100" w:beforeAutospacing="1" w:after="100" w:afterAutospacing="1" w:line="360" w:lineRule="auto"/>
        <w:ind w:firstLine="480"/>
        <w:rPr>
          <w:rFonts w:ascii="宋体" w:eastAsia="宋体" w:hAnsi="宋体" w:cs="宋体"/>
          <w:color w:val="000000"/>
          <w:sz w:val="24"/>
          <w:szCs w:val="24"/>
        </w:rPr>
      </w:pPr>
      <w:r w:rsidRPr="000B7F02">
        <w:rPr>
          <w:rFonts w:ascii="楷体" w:eastAsia="楷体" w:hAnsi="楷体" w:cs="宋体" w:hint="eastAsia"/>
          <w:color w:val="000000"/>
          <w:sz w:val="24"/>
          <w:szCs w:val="24"/>
        </w:rPr>
        <w:t>（一）种植业收入。</w:t>
      </w:r>
      <w:r w:rsidRPr="000B7F02">
        <w:rPr>
          <w:rFonts w:ascii="宋体" w:eastAsia="宋体" w:hAnsi="宋体" w:cs="宋体" w:hint="eastAsia"/>
          <w:color w:val="000000"/>
          <w:sz w:val="24"/>
          <w:szCs w:val="24"/>
        </w:rPr>
        <w:t>按实际收入计算，本人申报收入偏低或难以查实的按测算标准计算：粮食作物按350元/亩计算（高海拔村按50%计算）；菜地按1500元/亩计算；木耳、蘑菇按2000元/亩计算；大棚作物按3000元/亩计算；中草药按时价计算；其它特种种植作物由民主评议小组全体人员按我县该作物平均收入水平进行评估测算，并在评议记录上共同签字确认。</w:t>
      </w:r>
    </w:p>
    <w:p w:rsidR="000B7F02" w:rsidRPr="000B7F02" w:rsidRDefault="000B7F02" w:rsidP="000B7F02">
      <w:pPr>
        <w:adjustRightInd/>
        <w:snapToGrid/>
        <w:spacing w:before="100" w:beforeAutospacing="1" w:after="100" w:afterAutospacing="1" w:line="360" w:lineRule="auto"/>
        <w:ind w:firstLine="480"/>
        <w:rPr>
          <w:rFonts w:ascii="宋体" w:eastAsia="宋体" w:hAnsi="宋体" w:cs="宋体"/>
          <w:color w:val="000000"/>
          <w:sz w:val="24"/>
          <w:szCs w:val="24"/>
        </w:rPr>
      </w:pPr>
      <w:r w:rsidRPr="000B7F02">
        <w:rPr>
          <w:rFonts w:ascii="楷体" w:eastAsia="楷体" w:hAnsi="楷体" w:cs="宋体" w:hint="eastAsia"/>
          <w:color w:val="000000"/>
          <w:sz w:val="24"/>
          <w:szCs w:val="24"/>
        </w:rPr>
        <w:t>（二）养殖业收入。</w:t>
      </w:r>
      <w:r w:rsidRPr="000B7F02">
        <w:rPr>
          <w:rFonts w:ascii="宋体" w:eastAsia="宋体" w:hAnsi="宋体" w:cs="宋体" w:hint="eastAsia"/>
          <w:color w:val="000000"/>
          <w:sz w:val="24"/>
          <w:szCs w:val="24"/>
        </w:rPr>
        <w:t>养鸡从30只算起，按每只15元计算；养鸭从30只算起，按每只10元计算；养鹅从20只算起，按每只20元计算；养兔从30只算起，按每只15元计算；养狗按每条200元计算；养猪按每头300元计算；养牛按每头1000元计算；养羊按每只200元计算；养蜂从10箱算起，按每箱200</w:t>
      </w:r>
      <w:r w:rsidRPr="000B7F02">
        <w:rPr>
          <w:rFonts w:ascii="宋体" w:eastAsia="宋体" w:hAnsi="宋体" w:cs="宋体" w:hint="eastAsia"/>
          <w:color w:val="000000"/>
          <w:sz w:val="24"/>
          <w:szCs w:val="24"/>
        </w:rPr>
        <w:lastRenderedPageBreak/>
        <w:t>元；承包沟系养蛤蟆按每年5000元/沟计算；养马、鹿、骡、驴按每头800元计算；其他特种养殖按当时市场水平价格计算。</w:t>
      </w:r>
    </w:p>
    <w:p w:rsidR="000B7F02" w:rsidRPr="000B7F02" w:rsidRDefault="000B7F02" w:rsidP="000B7F02">
      <w:pPr>
        <w:adjustRightInd/>
        <w:snapToGrid/>
        <w:spacing w:before="100" w:beforeAutospacing="1" w:after="100" w:afterAutospacing="1" w:line="360" w:lineRule="auto"/>
        <w:ind w:firstLine="480"/>
        <w:rPr>
          <w:rFonts w:ascii="宋体" w:eastAsia="宋体" w:hAnsi="宋体" w:cs="宋体"/>
          <w:color w:val="000000"/>
          <w:sz w:val="24"/>
          <w:szCs w:val="24"/>
        </w:rPr>
      </w:pPr>
      <w:r w:rsidRPr="000B7F02">
        <w:rPr>
          <w:rFonts w:ascii="楷体" w:eastAsia="楷体" w:hAnsi="楷体" w:cs="宋体" w:hint="eastAsia"/>
          <w:color w:val="000000"/>
          <w:sz w:val="24"/>
          <w:szCs w:val="24"/>
        </w:rPr>
        <w:t>（三）个体经营收入。</w:t>
      </w:r>
      <w:r w:rsidRPr="000B7F02">
        <w:rPr>
          <w:rFonts w:ascii="宋体" w:eastAsia="宋体" w:hAnsi="宋体" w:cs="宋体" w:hint="eastAsia"/>
          <w:color w:val="000000"/>
          <w:sz w:val="24"/>
          <w:szCs w:val="24"/>
        </w:rPr>
        <w:t>村内店面对50户以内的，按每月300元计算；面对50户以上的，按每月350元计算；县城摊位生意收入，按每月1200元计算；县城门市生意收入，按每月2000元计算。承包果松林，按每个松塔1元计算；其他果林从10棵算起，按每棵每年30元计算；采集加工收入一般按产品重量和市场价格计算，或按每年500元—1500元计算。</w:t>
      </w:r>
    </w:p>
    <w:p w:rsidR="000B7F02" w:rsidRPr="000B7F02" w:rsidRDefault="000B7F02" w:rsidP="000B7F02">
      <w:pPr>
        <w:adjustRightInd/>
        <w:snapToGrid/>
        <w:spacing w:before="100" w:beforeAutospacing="1" w:after="100" w:afterAutospacing="1" w:line="360" w:lineRule="auto"/>
        <w:ind w:firstLine="482"/>
        <w:rPr>
          <w:rFonts w:ascii="宋体" w:eastAsia="宋体" w:hAnsi="宋体" w:cs="宋体"/>
          <w:color w:val="000000"/>
          <w:sz w:val="24"/>
          <w:szCs w:val="24"/>
        </w:rPr>
      </w:pPr>
      <w:r w:rsidRPr="000B7F02">
        <w:rPr>
          <w:rFonts w:ascii="宋体" w:eastAsia="宋体" w:hAnsi="宋体" w:cs="宋体" w:hint="eastAsia"/>
          <w:b/>
          <w:bCs/>
          <w:color w:val="000000"/>
          <w:sz w:val="24"/>
          <w:szCs w:val="24"/>
        </w:rPr>
        <w:t>三、财产净收入测算</w:t>
      </w:r>
    </w:p>
    <w:p w:rsidR="000B7F02" w:rsidRPr="000B7F02" w:rsidRDefault="000B7F02" w:rsidP="000B7F02">
      <w:pPr>
        <w:adjustRightInd/>
        <w:snapToGrid/>
        <w:spacing w:before="100" w:beforeAutospacing="1" w:after="100" w:afterAutospacing="1" w:line="360" w:lineRule="auto"/>
        <w:ind w:firstLine="480"/>
        <w:rPr>
          <w:rFonts w:ascii="宋体" w:eastAsia="宋体" w:hAnsi="宋体" w:cs="宋体"/>
          <w:color w:val="000000"/>
          <w:sz w:val="24"/>
          <w:szCs w:val="24"/>
        </w:rPr>
      </w:pPr>
      <w:r w:rsidRPr="000B7F02">
        <w:rPr>
          <w:rFonts w:ascii="宋体" w:eastAsia="宋体" w:hAnsi="宋体" w:cs="宋体" w:hint="eastAsia"/>
          <w:color w:val="000000"/>
          <w:sz w:val="24"/>
          <w:szCs w:val="24"/>
        </w:rPr>
        <w:t>土地转包旱田按每亩每年100元计算，水田按每亩每年100元计算；林地转包按每亩每年50元计算；门市、住房、车库出租收入一般按协议（合同）上的租金计算；平房按50—100元/月计算，楼房按400—600元/月计算，车库根据面积大小按100—300元/月计算；无协议（合同）的，门市根据面积大小、地点（段）与客流量，按1000—4000元/月计算；银行存款利息、储蓄性保险投资、有价证券与股息红利等收益按实际收益计算；车辆农机出租收入按协议（合同）或当时市场价格评估计算。</w:t>
      </w:r>
    </w:p>
    <w:p w:rsidR="000B7F02" w:rsidRPr="000B7F02" w:rsidRDefault="000B7F02" w:rsidP="000B7F02">
      <w:pPr>
        <w:adjustRightInd/>
        <w:snapToGrid/>
        <w:spacing w:before="100" w:beforeAutospacing="1" w:after="100" w:afterAutospacing="1" w:line="360" w:lineRule="auto"/>
        <w:ind w:firstLine="482"/>
        <w:rPr>
          <w:rFonts w:ascii="宋体" w:eastAsia="宋体" w:hAnsi="宋体" w:cs="宋体"/>
          <w:color w:val="000000"/>
          <w:sz w:val="24"/>
          <w:szCs w:val="24"/>
        </w:rPr>
      </w:pPr>
      <w:r w:rsidRPr="000B7F02">
        <w:rPr>
          <w:rFonts w:ascii="宋体" w:eastAsia="宋体" w:hAnsi="宋体" w:cs="宋体" w:hint="eastAsia"/>
          <w:b/>
          <w:bCs/>
          <w:color w:val="000000"/>
          <w:sz w:val="24"/>
          <w:szCs w:val="24"/>
        </w:rPr>
        <w:t>四、转移净收入测算</w:t>
      </w:r>
    </w:p>
    <w:p w:rsidR="000B7F02" w:rsidRPr="000B7F02" w:rsidRDefault="000B7F02" w:rsidP="000B7F02">
      <w:pPr>
        <w:adjustRightInd/>
        <w:snapToGrid/>
        <w:spacing w:before="100" w:beforeAutospacing="1" w:after="100" w:afterAutospacing="1" w:line="360" w:lineRule="auto"/>
        <w:ind w:firstLine="480"/>
        <w:rPr>
          <w:rFonts w:ascii="宋体" w:eastAsia="宋体" w:hAnsi="宋体" w:cs="宋体"/>
          <w:color w:val="000000"/>
          <w:sz w:val="24"/>
          <w:szCs w:val="24"/>
        </w:rPr>
      </w:pPr>
      <w:r w:rsidRPr="000B7F02">
        <w:rPr>
          <w:rFonts w:ascii="宋体" w:eastAsia="宋体" w:hAnsi="宋体" w:cs="宋体" w:hint="eastAsia"/>
          <w:color w:val="000000"/>
          <w:sz w:val="24"/>
          <w:szCs w:val="24"/>
        </w:rPr>
        <w:t>农业补贴、退耕还林补贴、移民补贴、离退休金、失业保险金、社会救济金、遗属补助金、一次性安置费、经济赔（补）偿金、依法继承的遗产等按政策规定标准、补偿凭证（票据）、公证书认定计算。</w:t>
      </w:r>
    </w:p>
    <w:p w:rsidR="000B7F02" w:rsidRPr="000B7F02" w:rsidRDefault="000B7F02" w:rsidP="000B7F02">
      <w:pPr>
        <w:adjustRightInd/>
        <w:snapToGrid/>
        <w:spacing w:before="100" w:beforeAutospacing="1" w:after="100" w:afterAutospacing="1" w:line="360" w:lineRule="auto"/>
        <w:ind w:firstLine="480"/>
        <w:rPr>
          <w:rFonts w:ascii="宋体" w:eastAsia="宋体" w:hAnsi="宋体" w:cs="宋体"/>
          <w:color w:val="000000"/>
          <w:sz w:val="24"/>
          <w:szCs w:val="24"/>
        </w:rPr>
      </w:pPr>
      <w:r w:rsidRPr="000B7F02">
        <w:rPr>
          <w:rFonts w:ascii="宋体" w:eastAsia="宋体" w:hAnsi="宋体" w:cs="宋体" w:hint="eastAsia"/>
          <w:color w:val="000000"/>
          <w:sz w:val="24"/>
          <w:szCs w:val="24"/>
        </w:rPr>
        <w:t>赡（扶、抚）养费的计算：一般按照相关部门出具的调解、裁决、协议书确定的金额计算赡（扶、抚）养费。赡养费按法定赡养义务人家庭月人均收入高于200%低保标准以上部分的20%计算，每个被赡养人的赡养费按应付的赡养费除以被赡养人数确定。离婚家庭子女抚养费的认定，一般可按抚养义务人月总收入的20%计算，每个被抚养人的抚养费按应付的抚养费除以被抚养人数确定。其中：赡（扶、抚）养人无赡养能力的，不核算其承担的赡（扶、抚）养费。</w:t>
      </w:r>
    </w:p>
    <w:p w:rsidR="000B7F02" w:rsidRPr="000B7F02" w:rsidRDefault="000B7F02" w:rsidP="000B7F02">
      <w:pPr>
        <w:adjustRightInd/>
        <w:snapToGrid/>
        <w:spacing w:before="100" w:beforeAutospacing="1" w:after="100" w:afterAutospacing="1" w:line="360" w:lineRule="auto"/>
        <w:rPr>
          <w:rFonts w:ascii="宋体" w:eastAsia="宋体" w:hAnsi="宋体" w:cs="宋体"/>
          <w:color w:val="000000"/>
          <w:sz w:val="24"/>
          <w:szCs w:val="24"/>
        </w:rPr>
      </w:pPr>
      <w:r w:rsidRPr="000B7F02">
        <w:rPr>
          <w:rFonts w:ascii="宋体" w:eastAsia="宋体" w:hAnsi="宋体" w:cs="宋体" w:hint="eastAsia"/>
          <w:color w:val="000000"/>
          <w:sz w:val="24"/>
          <w:szCs w:val="24"/>
        </w:rPr>
        <w:lastRenderedPageBreak/>
        <w:t> </w:t>
      </w:r>
    </w:p>
    <w:p w:rsidR="000B7F02" w:rsidRPr="000B7F02" w:rsidRDefault="000B7F02" w:rsidP="000B7F02">
      <w:pPr>
        <w:adjustRightInd/>
        <w:snapToGrid/>
        <w:spacing w:before="100" w:beforeAutospacing="1" w:after="100" w:afterAutospacing="1" w:line="360" w:lineRule="auto"/>
        <w:rPr>
          <w:rFonts w:ascii="宋体" w:eastAsia="宋体" w:hAnsi="宋体" w:cs="宋体"/>
          <w:color w:val="000000"/>
          <w:sz w:val="24"/>
          <w:szCs w:val="24"/>
        </w:rPr>
      </w:pPr>
      <w:r w:rsidRPr="000B7F02">
        <w:rPr>
          <w:rFonts w:ascii="宋体" w:eastAsia="宋体" w:hAnsi="宋体" w:cs="宋体" w:hint="eastAsia"/>
          <w:color w:val="000000"/>
          <w:sz w:val="24"/>
          <w:szCs w:val="24"/>
        </w:rPr>
        <w:t> </w:t>
      </w:r>
    </w:p>
    <w:p w:rsidR="000B7F02" w:rsidRPr="000B7F02" w:rsidRDefault="000B7F02" w:rsidP="000B7F02">
      <w:pPr>
        <w:adjustRightInd/>
        <w:snapToGrid/>
        <w:spacing w:before="100" w:beforeAutospacing="1" w:after="100" w:afterAutospacing="1" w:line="360" w:lineRule="auto"/>
        <w:rPr>
          <w:rFonts w:ascii="宋体" w:eastAsia="宋体" w:hAnsi="宋体" w:cs="宋体"/>
          <w:color w:val="000000"/>
          <w:sz w:val="24"/>
          <w:szCs w:val="24"/>
        </w:rPr>
      </w:pPr>
      <w:r w:rsidRPr="000B7F02">
        <w:rPr>
          <w:rFonts w:ascii="宋体" w:eastAsia="宋体" w:hAnsi="宋体" w:cs="宋体" w:hint="eastAsia"/>
          <w:color w:val="000000"/>
          <w:sz w:val="24"/>
          <w:szCs w:val="24"/>
        </w:rPr>
        <w:t> </w:t>
      </w:r>
    </w:p>
    <w:tbl>
      <w:tblPr>
        <w:tblW w:w="9272" w:type="dxa"/>
        <w:tblCellMar>
          <w:top w:w="15" w:type="dxa"/>
          <w:left w:w="15" w:type="dxa"/>
          <w:bottom w:w="15" w:type="dxa"/>
          <w:right w:w="15" w:type="dxa"/>
        </w:tblCellMar>
        <w:tblLook w:val="04A0"/>
      </w:tblPr>
      <w:tblGrid>
        <w:gridCol w:w="1056"/>
        <w:gridCol w:w="5003"/>
        <w:gridCol w:w="1042"/>
        <w:gridCol w:w="2171"/>
      </w:tblGrid>
      <w:tr w:rsidR="000B7F02" w:rsidRPr="000B7F02" w:rsidTr="000B7F02">
        <w:trPr>
          <w:trHeight w:val="617"/>
        </w:trPr>
        <w:tc>
          <w:tcPr>
            <w:tcW w:w="9272" w:type="dxa"/>
            <w:gridSpan w:val="4"/>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b/>
                <w:bCs/>
                <w:sz w:val="24"/>
                <w:szCs w:val="24"/>
              </w:rPr>
              <w:t>附件2</w:t>
            </w:r>
          </w:p>
          <w:p w:rsidR="000B7F02" w:rsidRPr="000B7F02" w:rsidRDefault="000B7F02" w:rsidP="000B7F02">
            <w:pPr>
              <w:adjustRightInd/>
              <w:snapToGrid/>
              <w:spacing w:before="100" w:beforeAutospacing="1" w:after="100" w:afterAutospacing="1" w:line="360" w:lineRule="auto"/>
              <w:jc w:val="center"/>
              <w:rPr>
                <w:rFonts w:ascii="宋体" w:eastAsia="宋体" w:hAnsi="宋体" w:cs="宋体"/>
                <w:sz w:val="24"/>
                <w:szCs w:val="24"/>
              </w:rPr>
            </w:pPr>
            <w:r w:rsidRPr="000B7F02">
              <w:rPr>
                <w:rFonts w:ascii="宋体" w:eastAsia="宋体" w:hAnsi="宋体" w:cs="宋体" w:hint="eastAsia"/>
                <w:b/>
                <w:bCs/>
                <w:sz w:val="36"/>
                <w:szCs w:val="36"/>
              </w:rPr>
              <w:t>2018年常见慢性病药费最低支出测算标准</w:t>
            </w:r>
          </w:p>
        </w:tc>
      </w:tr>
      <w:tr w:rsidR="000B7F02" w:rsidRPr="000B7F02" w:rsidTr="000B7F02">
        <w:trPr>
          <w:trHeight w:val="326"/>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B7F02" w:rsidRPr="000B7F02" w:rsidRDefault="000B7F02" w:rsidP="000B7F02">
            <w:pPr>
              <w:adjustRightInd/>
              <w:snapToGrid/>
              <w:spacing w:before="100" w:beforeAutospacing="1" w:after="100" w:afterAutospacing="1" w:line="360" w:lineRule="auto"/>
              <w:jc w:val="center"/>
              <w:rPr>
                <w:rFonts w:ascii="宋体" w:eastAsia="宋体" w:hAnsi="宋体" w:cs="宋体"/>
                <w:sz w:val="24"/>
                <w:szCs w:val="24"/>
              </w:rPr>
            </w:pPr>
            <w:r w:rsidRPr="000B7F02">
              <w:rPr>
                <w:rFonts w:ascii="宋体" w:eastAsia="宋体" w:hAnsi="宋体" w:cs="宋体" w:hint="eastAsia"/>
                <w:b/>
                <w:bCs/>
                <w:sz w:val="24"/>
                <w:szCs w:val="24"/>
              </w:rPr>
              <w:t>序号</w:t>
            </w:r>
          </w:p>
        </w:tc>
        <w:tc>
          <w:tcPr>
            <w:tcW w:w="50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B7F02" w:rsidRPr="000B7F02" w:rsidRDefault="000B7F02" w:rsidP="000B7F02">
            <w:pPr>
              <w:adjustRightInd/>
              <w:snapToGrid/>
              <w:spacing w:before="100" w:beforeAutospacing="1" w:after="100" w:afterAutospacing="1" w:line="360" w:lineRule="auto"/>
              <w:jc w:val="center"/>
              <w:rPr>
                <w:rFonts w:ascii="宋体" w:eastAsia="宋体" w:hAnsi="宋体" w:cs="宋体"/>
                <w:sz w:val="24"/>
                <w:szCs w:val="24"/>
              </w:rPr>
            </w:pPr>
            <w:r w:rsidRPr="000B7F02">
              <w:rPr>
                <w:rFonts w:ascii="宋体" w:eastAsia="宋体" w:hAnsi="宋体" w:cs="宋体" w:hint="eastAsia"/>
                <w:b/>
                <w:bCs/>
                <w:sz w:val="24"/>
                <w:szCs w:val="24"/>
              </w:rPr>
              <w:t>疾病名称</w:t>
            </w:r>
          </w:p>
        </w:tc>
        <w:tc>
          <w:tcPr>
            <w:tcW w:w="10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B7F02" w:rsidRPr="000B7F02" w:rsidRDefault="000B7F02" w:rsidP="000B7F02">
            <w:pPr>
              <w:adjustRightInd/>
              <w:snapToGrid/>
              <w:spacing w:before="100" w:beforeAutospacing="1" w:after="100" w:afterAutospacing="1" w:line="360" w:lineRule="auto"/>
              <w:jc w:val="center"/>
              <w:rPr>
                <w:rFonts w:ascii="宋体" w:eastAsia="宋体" w:hAnsi="宋体" w:cs="宋体"/>
                <w:sz w:val="24"/>
                <w:szCs w:val="24"/>
              </w:rPr>
            </w:pPr>
            <w:r w:rsidRPr="000B7F02">
              <w:rPr>
                <w:rFonts w:ascii="宋体" w:eastAsia="宋体" w:hAnsi="宋体" w:cs="宋体" w:hint="eastAsia"/>
                <w:b/>
                <w:bCs/>
                <w:sz w:val="24"/>
                <w:szCs w:val="24"/>
              </w:rPr>
              <w:t>单位</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B7F02" w:rsidRPr="000B7F02" w:rsidRDefault="000B7F02" w:rsidP="000B7F02">
            <w:pPr>
              <w:adjustRightInd/>
              <w:snapToGrid/>
              <w:spacing w:before="100" w:beforeAutospacing="1" w:after="100" w:afterAutospacing="1" w:line="360" w:lineRule="auto"/>
              <w:jc w:val="center"/>
              <w:rPr>
                <w:rFonts w:ascii="宋体" w:eastAsia="宋体" w:hAnsi="宋体" w:cs="宋体"/>
                <w:sz w:val="24"/>
                <w:szCs w:val="24"/>
              </w:rPr>
            </w:pPr>
            <w:r w:rsidRPr="000B7F02">
              <w:rPr>
                <w:rFonts w:ascii="宋体" w:eastAsia="宋体" w:hAnsi="宋体" w:cs="宋体" w:hint="eastAsia"/>
                <w:b/>
                <w:bCs/>
                <w:sz w:val="24"/>
                <w:szCs w:val="24"/>
              </w:rPr>
              <w:t>最低支出标准</w:t>
            </w:r>
          </w:p>
        </w:tc>
      </w:tr>
      <w:tr w:rsidR="000B7F02" w:rsidRPr="000B7F02" w:rsidTr="000B7F02">
        <w:trPr>
          <w:trHeight w:val="307"/>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慢性支气管炎</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950</w:t>
            </w:r>
          </w:p>
        </w:tc>
      </w:tr>
      <w:tr w:rsidR="000B7F02" w:rsidRPr="000B7F02" w:rsidTr="000B7F02">
        <w:trPr>
          <w:trHeight w:val="318"/>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2</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肺纤维化</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1350</w:t>
            </w:r>
          </w:p>
        </w:tc>
      </w:tr>
      <w:tr w:rsidR="000B7F02" w:rsidRPr="000B7F02" w:rsidTr="000B7F02">
        <w:trPr>
          <w:trHeight w:val="300"/>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3</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慢性阻塞性肺病</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1200</w:t>
            </w:r>
          </w:p>
        </w:tc>
      </w:tr>
      <w:tr w:rsidR="000B7F02" w:rsidRPr="000B7F02" w:rsidTr="000B7F02">
        <w:trPr>
          <w:trHeight w:val="310"/>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4</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哮喘</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1100</w:t>
            </w:r>
          </w:p>
        </w:tc>
      </w:tr>
      <w:tr w:rsidR="000B7F02" w:rsidRPr="000B7F02" w:rsidTr="000B7F02">
        <w:trPr>
          <w:trHeight w:val="305"/>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5</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慢性肺原性心脏病</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1600</w:t>
            </w:r>
          </w:p>
        </w:tc>
      </w:tr>
      <w:tr w:rsidR="000B7F02" w:rsidRPr="000B7F02" w:rsidTr="000B7F02">
        <w:trPr>
          <w:trHeight w:val="301"/>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6</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高血压（Ⅱ、Ⅲ期）</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1050</w:t>
            </w:r>
          </w:p>
        </w:tc>
      </w:tr>
      <w:tr w:rsidR="000B7F02" w:rsidRPr="000B7F02" w:rsidTr="000B7F02">
        <w:trPr>
          <w:trHeight w:val="311"/>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7</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慢性缺血性心脏病</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1450</w:t>
            </w:r>
          </w:p>
        </w:tc>
      </w:tr>
      <w:tr w:rsidR="000B7F02" w:rsidRPr="000B7F02" w:rsidTr="000B7F02">
        <w:trPr>
          <w:trHeight w:val="30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8</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风湿性心脏病</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1600</w:t>
            </w:r>
          </w:p>
        </w:tc>
      </w:tr>
      <w:tr w:rsidR="000B7F02" w:rsidRPr="000B7F02" w:rsidTr="000B7F02">
        <w:trPr>
          <w:trHeight w:val="317"/>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9</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心力衰竭（心功能Ⅱ、Ⅲ级）</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1750</w:t>
            </w:r>
          </w:p>
        </w:tc>
      </w:tr>
      <w:tr w:rsidR="000B7F02" w:rsidRPr="000B7F02" w:rsidTr="000B7F02">
        <w:trPr>
          <w:trHeight w:val="298"/>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10</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心内膜炎</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1400</w:t>
            </w:r>
          </w:p>
        </w:tc>
      </w:tr>
      <w:tr w:rsidR="000B7F02" w:rsidRPr="000B7F02" w:rsidTr="000B7F02">
        <w:trPr>
          <w:trHeight w:val="309"/>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11</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慢性心包炎</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1600</w:t>
            </w:r>
          </w:p>
        </w:tc>
      </w:tr>
      <w:tr w:rsidR="000B7F02" w:rsidRPr="000B7F02" w:rsidTr="000B7F02">
        <w:trPr>
          <w:trHeight w:val="305"/>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12</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心律失常（限房颤）</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1600</w:t>
            </w:r>
          </w:p>
        </w:tc>
      </w:tr>
      <w:tr w:rsidR="000B7F02" w:rsidRPr="000B7F02" w:rsidTr="000B7F02">
        <w:trPr>
          <w:trHeight w:val="315"/>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13</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慢性胃炎</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950</w:t>
            </w:r>
          </w:p>
        </w:tc>
      </w:tr>
      <w:tr w:rsidR="000B7F02" w:rsidRPr="000B7F02" w:rsidTr="000B7F02">
        <w:trPr>
          <w:trHeight w:val="297"/>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14</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胃溃疡</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1000</w:t>
            </w:r>
          </w:p>
        </w:tc>
      </w:tr>
      <w:tr w:rsidR="000B7F02" w:rsidRPr="000B7F02" w:rsidTr="000B7F02">
        <w:trPr>
          <w:trHeight w:val="320"/>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15</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慢性肠炎</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950</w:t>
            </w:r>
          </w:p>
        </w:tc>
      </w:tr>
      <w:tr w:rsidR="000B7F02" w:rsidRPr="000B7F02" w:rsidTr="000B7F02">
        <w:trPr>
          <w:trHeight w:val="303"/>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16</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溃疡性结肠炎</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1100</w:t>
            </w:r>
          </w:p>
        </w:tc>
      </w:tr>
      <w:tr w:rsidR="000B7F02" w:rsidRPr="000B7F02" w:rsidTr="000B7F02">
        <w:trPr>
          <w:trHeight w:val="298"/>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17</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慢性胆囊炎</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1150</w:t>
            </w:r>
          </w:p>
        </w:tc>
      </w:tr>
      <w:tr w:rsidR="000B7F02" w:rsidRPr="000B7F02" w:rsidTr="000B7F02">
        <w:trPr>
          <w:trHeight w:val="309"/>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18</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慢性胰腺炎</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1100</w:t>
            </w:r>
          </w:p>
        </w:tc>
      </w:tr>
      <w:tr w:rsidR="000B7F02" w:rsidRPr="000B7F02" w:rsidTr="000B7F02">
        <w:trPr>
          <w:trHeight w:val="304"/>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19</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脑动脉供血不足</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1050</w:t>
            </w:r>
          </w:p>
        </w:tc>
      </w:tr>
      <w:tr w:rsidR="000B7F02" w:rsidRPr="000B7F02" w:rsidTr="000B7F02">
        <w:trPr>
          <w:trHeight w:val="315"/>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20</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慢性腹泻</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950</w:t>
            </w:r>
          </w:p>
        </w:tc>
      </w:tr>
      <w:tr w:rsidR="000B7F02" w:rsidRPr="000B7F02" w:rsidTr="000B7F02">
        <w:trPr>
          <w:trHeight w:val="311"/>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lastRenderedPageBreak/>
              <w:t>21</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慢性鼻（咽）炎</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800</w:t>
            </w:r>
          </w:p>
        </w:tc>
      </w:tr>
      <w:tr w:rsidR="000B7F02" w:rsidRPr="000B7F02" w:rsidTr="000B7F02">
        <w:trPr>
          <w:trHeight w:val="307"/>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22</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慢性鼻窦炎</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850</w:t>
            </w:r>
          </w:p>
        </w:tc>
      </w:tr>
      <w:tr w:rsidR="000B7F02" w:rsidRPr="000B7F02" w:rsidTr="000B7F02">
        <w:trPr>
          <w:trHeight w:val="303"/>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23</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糖尿病（饮食控制无效的）</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1450</w:t>
            </w:r>
          </w:p>
        </w:tc>
      </w:tr>
      <w:tr w:rsidR="000B7F02" w:rsidRPr="000B7F02" w:rsidTr="000B7F02">
        <w:trPr>
          <w:trHeight w:val="313"/>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24</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痛风</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950</w:t>
            </w:r>
          </w:p>
        </w:tc>
      </w:tr>
      <w:tr w:rsidR="000B7F02" w:rsidRPr="000B7F02" w:rsidTr="000B7F02">
        <w:trPr>
          <w:trHeight w:val="309"/>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25</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脑出血（恢复期）</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2000</w:t>
            </w:r>
          </w:p>
        </w:tc>
      </w:tr>
      <w:tr w:rsidR="000B7F02" w:rsidRPr="000B7F02" w:rsidTr="000B7F02">
        <w:trPr>
          <w:trHeight w:val="290"/>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26</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脑梗塞（恢复期）</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2100</w:t>
            </w:r>
          </w:p>
        </w:tc>
      </w:tr>
      <w:tr w:rsidR="000B7F02" w:rsidRPr="000B7F02" w:rsidTr="000B7F02">
        <w:trPr>
          <w:trHeight w:val="315"/>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27</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高脂血症</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1100</w:t>
            </w:r>
          </w:p>
        </w:tc>
      </w:tr>
      <w:tr w:rsidR="000B7F02" w:rsidRPr="000B7F02" w:rsidTr="000B7F02">
        <w:trPr>
          <w:trHeight w:val="310"/>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28</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子宫内膜异位症</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1400</w:t>
            </w:r>
          </w:p>
        </w:tc>
      </w:tr>
      <w:tr w:rsidR="000B7F02" w:rsidRPr="000B7F02" w:rsidTr="000B7F02">
        <w:trPr>
          <w:trHeight w:val="307"/>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29</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中耳炎</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700</w:t>
            </w:r>
          </w:p>
        </w:tc>
      </w:tr>
      <w:tr w:rsidR="000B7F02" w:rsidRPr="000B7F02" w:rsidTr="000B7F02">
        <w:trPr>
          <w:trHeight w:val="303"/>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30</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慢性肾炎</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2000</w:t>
            </w:r>
          </w:p>
        </w:tc>
      </w:tr>
      <w:tr w:rsidR="000B7F02" w:rsidRPr="000B7F02" w:rsidTr="000B7F02">
        <w:trPr>
          <w:trHeight w:val="313"/>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31</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脊柱退行性疾病</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1200</w:t>
            </w:r>
          </w:p>
        </w:tc>
      </w:tr>
      <w:tr w:rsidR="000B7F02" w:rsidRPr="000B7F02" w:rsidTr="000B7F02">
        <w:trPr>
          <w:trHeight w:val="369"/>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32</w:t>
            </w:r>
          </w:p>
        </w:tc>
        <w:tc>
          <w:tcPr>
            <w:tcW w:w="5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恶性肿瘤镇痛治疗</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元/年</w:t>
            </w:r>
          </w:p>
        </w:tc>
        <w:tc>
          <w:tcPr>
            <w:tcW w:w="2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2000</w:t>
            </w:r>
          </w:p>
        </w:tc>
      </w:tr>
    </w:tbl>
    <w:p w:rsidR="000B7F02" w:rsidRPr="000B7F02" w:rsidRDefault="000B7F02" w:rsidP="000B7F02">
      <w:pPr>
        <w:adjustRightInd/>
        <w:snapToGrid/>
        <w:spacing w:before="100" w:beforeAutospacing="1" w:after="100" w:afterAutospacing="1" w:line="360" w:lineRule="auto"/>
        <w:rPr>
          <w:rFonts w:ascii="宋体" w:eastAsia="宋体" w:hAnsi="宋体" w:cs="宋体"/>
          <w:color w:val="000000"/>
          <w:sz w:val="24"/>
          <w:szCs w:val="24"/>
        </w:rPr>
      </w:pPr>
      <w:r w:rsidRPr="000B7F02">
        <w:rPr>
          <w:rFonts w:ascii="宋体" w:eastAsia="宋体" w:hAnsi="宋体" w:cs="宋体" w:hint="eastAsia"/>
          <w:color w:val="000000"/>
          <w:sz w:val="24"/>
          <w:szCs w:val="24"/>
        </w:rPr>
        <w:br w:type="page"/>
      </w:r>
      <w:r w:rsidRPr="000B7F02">
        <w:rPr>
          <w:rFonts w:ascii="宋体" w:eastAsia="宋体" w:hAnsi="宋体" w:cs="宋体" w:hint="eastAsia"/>
          <w:b/>
          <w:bCs/>
          <w:color w:val="000000"/>
          <w:sz w:val="24"/>
          <w:szCs w:val="24"/>
        </w:rPr>
        <w:lastRenderedPageBreak/>
        <w:t>附件3</w:t>
      </w:r>
    </w:p>
    <w:p w:rsidR="000B7F02" w:rsidRPr="000B7F02" w:rsidRDefault="000B7F02" w:rsidP="000B7F02">
      <w:pPr>
        <w:adjustRightInd/>
        <w:snapToGrid/>
        <w:spacing w:before="100" w:beforeAutospacing="1" w:after="100" w:afterAutospacing="1" w:line="360" w:lineRule="auto"/>
        <w:jc w:val="center"/>
        <w:rPr>
          <w:rFonts w:ascii="宋体" w:eastAsia="宋体" w:hAnsi="宋体" w:cs="宋体"/>
          <w:color w:val="000000"/>
          <w:sz w:val="24"/>
          <w:szCs w:val="24"/>
        </w:rPr>
      </w:pPr>
      <w:r w:rsidRPr="000B7F02">
        <w:rPr>
          <w:rFonts w:ascii="宋体" w:eastAsia="宋体" w:hAnsi="宋体" w:cs="宋体" w:hint="eastAsia"/>
          <w:b/>
          <w:bCs/>
          <w:color w:val="000000"/>
          <w:sz w:val="36"/>
          <w:szCs w:val="36"/>
        </w:rPr>
        <w:t>社会救助工作城乡居民劳动力系数测算标准</w:t>
      </w:r>
    </w:p>
    <w:tbl>
      <w:tblPr>
        <w:tblW w:w="13696" w:type="dxa"/>
        <w:tblCellMar>
          <w:top w:w="15" w:type="dxa"/>
          <w:left w:w="15" w:type="dxa"/>
          <w:bottom w:w="15" w:type="dxa"/>
          <w:right w:w="15" w:type="dxa"/>
        </w:tblCellMar>
        <w:tblLook w:val="04A0"/>
      </w:tblPr>
      <w:tblGrid>
        <w:gridCol w:w="3268"/>
        <w:gridCol w:w="2212"/>
        <w:gridCol w:w="2212"/>
        <w:gridCol w:w="2054"/>
        <w:gridCol w:w="2054"/>
        <w:gridCol w:w="1896"/>
      </w:tblGrid>
      <w:tr w:rsidR="000B7F02" w:rsidRPr="000B7F02" w:rsidTr="000B7F02">
        <w:trPr>
          <w:trHeight w:val="567"/>
        </w:trPr>
        <w:tc>
          <w:tcPr>
            <w:tcW w:w="32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类别及等级</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男16－50周岁（含）</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男51－60周岁（含）</w:t>
            </w:r>
          </w:p>
        </w:tc>
        <w:tc>
          <w:tcPr>
            <w:tcW w:w="20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男61－65周岁（含）</w:t>
            </w:r>
          </w:p>
        </w:tc>
        <w:tc>
          <w:tcPr>
            <w:tcW w:w="205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男66周岁以上、女61周岁以上，70周岁以下（含）</w:t>
            </w:r>
          </w:p>
        </w:tc>
        <w:tc>
          <w:tcPr>
            <w:tcW w:w="189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16周岁以下及在校学生或71周岁以上</w:t>
            </w:r>
          </w:p>
        </w:tc>
      </w:tr>
      <w:tr w:rsidR="000B7F02" w:rsidRPr="000B7F02" w:rsidTr="000B7F02">
        <w:trPr>
          <w:trHeight w:val="565"/>
        </w:trPr>
        <w:tc>
          <w:tcPr>
            <w:tcW w:w="0" w:type="auto"/>
            <w:vMerge/>
            <w:tcBorders>
              <w:top w:val="single" w:sz="8" w:space="0" w:color="auto"/>
              <w:left w:val="single" w:sz="8" w:space="0" w:color="auto"/>
              <w:bottom w:val="single" w:sz="8" w:space="0" w:color="auto"/>
              <w:right w:val="single" w:sz="8" w:space="0" w:color="auto"/>
            </w:tcBorders>
            <w:vAlign w:val="center"/>
            <w:hideMark/>
          </w:tcPr>
          <w:p w:rsidR="000B7F02" w:rsidRPr="000B7F02" w:rsidRDefault="000B7F02" w:rsidP="000B7F02">
            <w:pPr>
              <w:adjustRightInd/>
              <w:snapToGrid/>
              <w:spacing w:after="0"/>
              <w:rPr>
                <w:rFonts w:ascii="宋体" w:eastAsia="宋体" w:hAnsi="宋体" w:cs="宋体"/>
                <w:sz w:val="24"/>
                <w:szCs w:val="24"/>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女16－45周岁（含）</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女46－55周岁（含）</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女56－60周岁（含）</w:t>
            </w:r>
          </w:p>
        </w:tc>
        <w:tc>
          <w:tcPr>
            <w:tcW w:w="0" w:type="auto"/>
            <w:vMerge/>
            <w:tcBorders>
              <w:top w:val="single" w:sz="8" w:space="0" w:color="auto"/>
              <w:left w:val="nil"/>
              <w:bottom w:val="single" w:sz="8" w:space="0" w:color="auto"/>
              <w:right w:val="single" w:sz="8" w:space="0" w:color="auto"/>
            </w:tcBorders>
            <w:vAlign w:val="center"/>
            <w:hideMark/>
          </w:tcPr>
          <w:p w:rsidR="000B7F02" w:rsidRPr="000B7F02" w:rsidRDefault="000B7F02" w:rsidP="000B7F02">
            <w:pPr>
              <w:adjustRightInd/>
              <w:snapToGrid/>
              <w:spacing w:after="0"/>
              <w:rPr>
                <w:rFonts w:ascii="宋体" w:eastAsia="宋体" w:hAnsi="宋体" w:cs="宋体"/>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B7F02" w:rsidRPr="000B7F02" w:rsidRDefault="000B7F02" w:rsidP="000B7F02">
            <w:pPr>
              <w:adjustRightInd/>
              <w:snapToGrid/>
              <w:spacing w:after="0"/>
              <w:rPr>
                <w:rFonts w:ascii="宋体" w:eastAsia="宋体" w:hAnsi="宋体" w:cs="宋体"/>
                <w:sz w:val="24"/>
                <w:szCs w:val="24"/>
              </w:rPr>
            </w:pPr>
          </w:p>
        </w:tc>
      </w:tr>
      <w:tr w:rsidR="000B7F02" w:rsidRPr="000B7F02" w:rsidTr="000B7F02">
        <w:trPr>
          <w:trHeight w:val="280"/>
        </w:trPr>
        <w:tc>
          <w:tcPr>
            <w:tcW w:w="3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身体健康、劳动力正常人员</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1</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0.8</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0.4</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0.2</w:t>
            </w:r>
          </w:p>
        </w:tc>
        <w:tc>
          <w:tcPr>
            <w:tcW w:w="1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r>
      <w:tr w:rsidR="000B7F02" w:rsidRPr="000B7F02" w:rsidTr="000B7F02">
        <w:trPr>
          <w:trHeight w:val="839"/>
        </w:trPr>
        <w:tc>
          <w:tcPr>
            <w:tcW w:w="3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有部分劳动能力的残疾人员（肢体、智力、精神残疾4级；语言听力残疾3、4级）</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0.7</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0.5</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0.3</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0.1</w:t>
            </w:r>
          </w:p>
        </w:tc>
        <w:tc>
          <w:tcPr>
            <w:tcW w:w="1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r>
      <w:tr w:rsidR="000B7F02" w:rsidRPr="000B7F02" w:rsidTr="000B7F02">
        <w:trPr>
          <w:trHeight w:val="865"/>
        </w:trPr>
        <w:tc>
          <w:tcPr>
            <w:tcW w:w="3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有少部分劳动能力的残疾人员（肢体、智力、精神残疾3级；语言听力残疾1、2级；视力残疾3、4级）</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0.2</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0.1</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c>
          <w:tcPr>
            <w:tcW w:w="1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r>
      <w:tr w:rsidR="000B7F02" w:rsidRPr="000B7F02" w:rsidTr="000B7F02">
        <w:trPr>
          <w:trHeight w:val="851"/>
        </w:trPr>
        <w:tc>
          <w:tcPr>
            <w:tcW w:w="3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完全丧失劳动能力的重残人员（肢体、智力、精神残疾1、2级；视力残疾1、2级）</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c>
          <w:tcPr>
            <w:tcW w:w="1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r>
      <w:tr w:rsidR="000B7F02" w:rsidRPr="000B7F02" w:rsidTr="000B7F02">
        <w:trPr>
          <w:trHeight w:val="286"/>
        </w:trPr>
        <w:tc>
          <w:tcPr>
            <w:tcW w:w="3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多重残疾（除听力言语）</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c>
          <w:tcPr>
            <w:tcW w:w="1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r>
      <w:tr w:rsidR="000B7F02" w:rsidRPr="000B7F02" w:rsidTr="000B7F02">
        <w:trPr>
          <w:trHeight w:val="556"/>
        </w:trPr>
        <w:tc>
          <w:tcPr>
            <w:tcW w:w="3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重病且完全丧失劳动能力的人员（病种附后）</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c>
          <w:tcPr>
            <w:tcW w:w="1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r>
      <w:tr w:rsidR="000B7F02" w:rsidRPr="000B7F02" w:rsidTr="000B7F02">
        <w:trPr>
          <w:trHeight w:val="588"/>
        </w:trPr>
        <w:tc>
          <w:tcPr>
            <w:tcW w:w="3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其它严重影响劳动能力的常见疾病 （病种附后）</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0.4</w:t>
            </w:r>
          </w:p>
        </w:tc>
        <w:tc>
          <w:tcPr>
            <w:tcW w:w="2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0.3</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0.2</w:t>
            </w:r>
          </w:p>
        </w:tc>
        <w:tc>
          <w:tcPr>
            <w:tcW w:w="2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0.1</w:t>
            </w:r>
          </w:p>
        </w:tc>
        <w:tc>
          <w:tcPr>
            <w:tcW w:w="1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0</w:t>
            </w:r>
          </w:p>
        </w:tc>
      </w:tr>
      <w:tr w:rsidR="000B7F02" w:rsidRPr="000B7F02" w:rsidTr="000B7F02">
        <w:trPr>
          <w:trHeight w:val="564"/>
        </w:trPr>
        <w:tc>
          <w:tcPr>
            <w:tcW w:w="974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共同生活的家庭成员中有1名需要照顾的完全丧失劳动能力的重残人员或重病人员，有未成年人的丧偶单亲家庭。</w:t>
            </w:r>
          </w:p>
        </w:tc>
        <w:tc>
          <w:tcPr>
            <w:tcW w:w="39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家庭劳动力系数扣减0.2（同时符合几个条件的不重复扣减，享受豁免收入政策的不予扣减）</w:t>
            </w:r>
          </w:p>
        </w:tc>
      </w:tr>
      <w:tr w:rsidR="000B7F02" w:rsidRPr="000B7F02" w:rsidTr="000B7F02">
        <w:trPr>
          <w:trHeight w:val="925"/>
        </w:trPr>
        <w:tc>
          <w:tcPr>
            <w:tcW w:w="974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lastRenderedPageBreak/>
              <w:t>共同生活的家庭成员中有2名以上需要照顾的完全丧失劳动能力的重残或重病人员</w:t>
            </w:r>
          </w:p>
        </w:tc>
        <w:tc>
          <w:tcPr>
            <w:tcW w:w="39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B7F02" w:rsidRPr="000B7F02" w:rsidRDefault="000B7F02" w:rsidP="000B7F02">
            <w:pPr>
              <w:adjustRightInd/>
              <w:snapToGrid/>
              <w:spacing w:before="100" w:beforeAutospacing="1" w:after="100" w:afterAutospacing="1" w:line="360" w:lineRule="auto"/>
              <w:rPr>
                <w:rFonts w:ascii="宋体" w:eastAsia="宋体" w:hAnsi="宋体" w:cs="宋体"/>
                <w:sz w:val="24"/>
                <w:szCs w:val="24"/>
              </w:rPr>
            </w:pPr>
            <w:r w:rsidRPr="000B7F02">
              <w:rPr>
                <w:rFonts w:ascii="宋体" w:eastAsia="宋体" w:hAnsi="宋体" w:cs="宋体" w:hint="eastAsia"/>
                <w:sz w:val="24"/>
                <w:szCs w:val="24"/>
              </w:rPr>
              <w:t>家庭劳动力系数扣减0.4（享受收入豁免政策的不予扣减）</w:t>
            </w:r>
          </w:p>
        </w:tc>
      </w:tr>
    </w:tbl>
    <w:p w:rsidR="000B7F02" w:rsidRPr="000B7F02" w:rsidRDefault="000B7F02" w:rsidP="000B7F02">
      <w:pPr>
        <w:adjustRightInd/>
        <w:snapToGrid/>
        <w:spacing w:before="100" w:beforeAutospacing="1" w:after="100" w:afterAutospacing="1" w:line="360" w:lineRule="auto"/>
        <w:rPr>
          <w:rFonts w:ascii="宋体" w:eastAsia="宋体" w:hAnsi="宋体" w:cs="宋体"/>
          <w:color w:val="000000"/>
          <w:sz w:val="24"/>
          <w:szCs w:val="24"/>
        </w:rPr>
      </w:pPr>
      <w:r w:rsidRPr="000B7F02">
        <w:rPr>
          <w:rFonts w:ascii="宋体" w:eastAsia="宋体" w:hAnsi="宋体" w:cs="宋体" w:hint="eastAsia"/>
          <w:color w:val="000000"/>
          <w:sz w:val="24"/>
          <w:szCs w:val="24"/>
        </w:rPr>
        <w:br w:type="page"/>
      </w:r>
      <w:r w:rsidRPr="000B7F02">
        <w:rPr>
          <w:rFonts w:ascii="宋体" w:eastAsia="宋体" w:hAnsi="宋体" w:cs="宋体" w:hint="eastAsia"/>
          <w:color w:val="000000"/>
          <w:sz w:val="24"/>
          <w:szCs w:val="24"/>
        </w:rPr>
        <w:lastRenderedPageBreak/>
        <w:t>说明：</w:t>
      </w:r>
    </w:p>
    <w:p w:rsidR="000B7F02" w:rsidRPr="000B7F02" w:rsidRDefault="000B7F02" w:rsidP="000B7F02">
      <w:pPr>
        <w:adjustRightInd/>
        <w:snapToGrid/>
        <w:spacing w:before="100" w:beforeAutospacing="1" w:after="100" w:afterAutospacing="1" w:line="360" w:lineRule="auto"/>
        <w:rPr>
          <w:rFonts w:ascii="宋体" w:eastAsia="宋体" w:hAnsi="宋体" w:cs="宋体"/>
          <w:color w:val="000000"/>
          <w:sz w:val="24"/>
          <w:szCs w:val="24"/>
        </w:rPr>
      </w:pPr>
      <w:r w:rsidRPr="000B7F02">
        <w:rPr>
          <w:rFonts w:ascii="宋体" w:eastAsia="宋体" w:hAnsi="宋体" w:cs="宋体" w:hint="eastAsia"/>
          <w:color w:val="000000"/>
          <w:sz w:val="24"/>
          <w:szCs w:val="24"/>
        </w:rPr>
        <w:t>1﹒当人员类别重复时，劳动力系数按较低的计算；当劳动力系数扣减后出现负数时，系数按0计算。</w:t>
      </w:r>
    </w:p>
    <w:p w:rsidR="000B7F02" w:rsidRPr="000B7F02" w:rsidRDefault="000B7F02" w:rsidP="000B7F02">
      <w:pPr>
        <w:adjustRightInd/>
        <w:snapToGrid/>
        <w:spacing w:before="100" w:beforeAutospacing="1" w:after="100" w:afterAutospacing="1" w:line="360" w:lineRule="auto"/>
        <w:rPr>
          <w:rFonts w:ascii="宋体" w:eastAsia="宋体" w:hAnsi="宋体" w:cs="宋体"/>
          <w:color w:val="000000"/>
          <w:sz w:val="24"/>
          <w:szCs w:val="24"/>
        </w:rPr>
      </w:pPr>
      <w:r w:rsidRPr="000B7F02">
        <w:rPr>
          <w:rFonts w:ascii="宋体" w:eastAsia="宋体" w:hAnsi="宋体" w:cs="宋体" w:hint="eastAsia"/>
          <w:color w:val="000000"/>
          <w:sz w:val="24"/>
          <w:szCs w:val="24"/>
        </w:rPr>
        <w:t>2﹒残疾和疾病人员界定。</w:t>
      </w:r>
    </w:p>
    <w:p w:rsidR="000B7F02" w:rsidRPr="000B7F02" w:rsidRDefault="000B7F02" w:rsidP="000B7F02">
      <w:pPr>
        <w:adjustRightInd/>
        <w:snapToGrid/>
        <w:spacing w:before="100" w:beforeAutospacing="1" w:after="100" w:afterAutospacing="1" w:line="360" w:lineRule="auto"/>
        <w:rPr>
          <w:rFonts w:ascii="宋体" w:eastAsia="宋体" w:hAnsi="宋体" w:cs="宋体"/>
          <w:color w:val="000000"/>
          <w:sz w:val="24"/>
          <w:szCs w:val="24"/>
        </w:rPr>
      </w:pPr>
      <w:r w:rsidRPr="000B7F02">
        <w:rPr>
          <w:rFonts w:ascii="宋体" w:eastAsia="宋体" w:hAnsi="宋体" w:cs="宋体" w:hint="eastAsia"/>
          <w:color w:val="000000"/>
          <w:sz w:val="24"/>
          <w:szCs w:val="24"/>
        </w:rPr>
        <w:t>（1）残疾人员界定。根据长白朝鲜族自治县残疾人联合会核发的《残疾证》确认。</w:t>
      </w:r>
    </w:p>
    <w:p w:rsidR="000B7F02" w:rsidRPr="000B7F02" w:rsidRDefault="000B7F02" w:rsidP="000B7F02">
      <w:pPr>
        <w:adjustRightInd/>
        <w:snapToGrid/>
        <w:spacing w:before="100" w:beforeAutospacing="1" w:after="100" w:afterAutospacing="1" w:line="360" w:lineRule="auto"/>
        <w:rPr>
          <w:rFonts w:ascii="宋体" w:eastAsia="宋体" w:hAnsi="宋体" w:cs="宋体"/>
          <w:color w:val="000000"/>
          <w:sz w:val="24"/>
          <w:szCs w:val="24"/>
        </w:rPr>
      </w:pPr>
      <w:r w:rsidRPr="000B7F02">
        <w:rPr>
          <w:rFonts w:ascii="宋体" w:eastAsia="宋体" w:hAnsi="宋体" w:cs="宋体" w:hint="eastAsia"/>
          <w:color w:val="000000"/>
          <w:sz w:val="24"/>
          <w:szCs w:val="24"/>
        </w:rPr>
        <w:t>（2）疾病人员界定。凭二级以上医院出具的检查报告及相关病史材料确认。</w:t>
      </w:r>
    </w:p>
    <w:p w:rsidR="000B7F02" w:rsidRPr="000B7F02" w:rsidRDefault="000B7F02" w:rsidP="000B7F02">
      <w:pPr>
        <w:adjustRightInd/>
        <w:snapToGrid/>
        <w:spacing w:before="100" w:beforeAutospacing="1" w:after="100" w:afterAutospacing="1" w:line="360" w:lineRule="auto"/>
        <w:rPr>
          <w:rFonts w:ascii="宋体" w:eastAsia="宋体" w:hAnsi="宋体" w:cs="宋体"/>
          <w:color w:val="000000"/>
          <w:sz w:val="24"/>
          <w:szCs w:val="24"/>
        </w:rPr>
      </w:pPr>
      <w:r w:rsidRPr="000B7F02">
        <w:rPr>
          <w:rFonts w:ascii="宋体" w:eastAsia="宋体" w:hAnsi="宋体" w:cs="宋体" w:hint="eastAsia"/>
          <w:color w:val="000000"/>
          <w:sz w:val="24"/>
          <w:szCs w:val="24"/>
        </w:rPr>
        <w:t>①完全丧失劳动能力重病包括：急性白血病（再生障碍性贫血）、恶性肿瘤晚期（包括乳腺癌、宫颈癌、肺癌、食道癌、胃癌、结肠癌、直肠癌、肝癌、卵巢癌、淋巴癌、膀胱癌、喉癌、鼻咽癌、胰腺癌、肾癌、子宫内膜癌）、重型病毒性肝炎、系统性红斑狼疮晚期、重症肌无力、肇事肇祸重性精神病、艾滋病机会性感染、血友病、终末期肾病、关节置换（限髋、膝关节置换）、重要器官移植术后的抗排异治疗等。</w:t>
      </w:r>
    </w:p>
    <w:p w:rsidR="000B7F02" w:rsidRPr="000B7F02" w:rsidRDefault="000B7F02" w:rsidP="000B7F02">
      <w:pPr>
        <w:adjustRightInd/>
        <w:snapToGrid/>
        <w:spacing w:before="100" w:beforeAutospacing="1" w:after="100" w:afterAutospacing="1" w:line="360" w:lineRule="auto"/>
        <w:rPr>
          <w:rFonts w:ascii="宋体" w:eastAsia="宋体" w:hAnsi="宋体" w:cs="宋体"/>
          <w:color w:val="000000"/>
          <w:sz w:val="24"/>
          <w:szCs w:val="24"/>
        </w:rPr>
      </w:pPr>
      <w:r w:rsidRPr="000B7F02">
        <w:rPr>
          <w:rFonts w:ascii="宋体" w:eastAsia="宋体" w:hAnsi="宋体" w:cs="宋体" w:hint="eastAsia"/>
          <w:color w:val="000000"/>
          <w:sz w:val="24"/>
          <w:szCs w:val="24"/>
        </w:rPr>
        <w:t>②严重影响劳动能力的常见疾病包括：慢性肺源性心脏病、慢性缺血性心脏病、风湿性心脏病、心力衰竭（心功能Ⅱ、Ⅲ级）、慢性胰腺炎、糖尿病并发症、脑出血（恢复期）、脑梗塞（恢复期）。其他严重影响劳动能力的疾病和劳动能力个体差异性很大的疾病，由乡镇政府组织召开民主评议会公开评议，提出是否给予低保的建议意见，报县民政局审批。</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B7F02"/>
    <w:rsid w:val="00323B43"/>
    <w:rsid w:val="00353C97"/>
    <w:rsid w:val="003D37D8"/>
    <w:rsid w:val="00426133"/>
    <w:rsid w:val="004358AB"/>
    <w:rsid w:val="00677E77"/>
    <w:rsid w:val="008B7726"/>
    <w:rsid w:val="00A74CD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56180">
      <w:bodyDiv w:val="1"/>
      <w:marLeft w:val="0"/>
      <w:marRight w:val="0"/>
      <w:marTop w:val="0"/>
      <w:marBottom w:val="0"/>
      <w:divBdr>
        <w:top w:val="none" w:sz="0" w:space="0" w:color="auto"/>
        <w:left w:val="none" w:sz="0" w:space="0" w:color="auto"/>
        <w:bottom w:val="none" w:sz="0" w:space="0" w:color="auto"/>
        <w:right w:val="none" w:sz="0" w:space="0" w:color="auto"/>
      </w:divBdr>
      <w:divsChild>
        <w:div w:id="101149750">
          <w:marLeft w:val="0"/>
          <w:marRight w:val="0"/>
          <w:marTop w:val="0"/>
          <w:marBottom w:val="0"/>
          <w:divBdr>
            <w:top w:val="none" w:sz="0" w:space="0" w:color="auto"/>
            <w:left w:val="none" w:sz="0" w:space="0" w:color="auto"/>
            <w:bottom w:val="none" w:sz="0" w:space="0" w:color="auto"/>
            <w:right w:val="none" w:sz="0" w:space="0" w:color="auto"/>
          </w:divBdr>
          <w:divsChild>
            <w:div w:id="1787920320">
              <w:marLeft w:val="0"/>
              <w:marRight w:val="0"/>
              <w:marTop w:val="0"/>
              <w:marBottom w:val="0"/>
              <w:divBdr>
                <w:top w:val="none" w:sz="0" w:space="0" w:color="auto"/>
                <w:left w:val="none" w:sz="0" w:space="0" w:color="auto"/>
                <w:bottom w:val="none" w:sz="0" w:space="0" w:color="auto"/>
                <w:right w:val="none" w:sz="0" w:space="0" w:color="auto"/>
              </w:divBdr>
              <w:divsChild>
                <w:div w:id="599459126">
                  <w:marLeft w:val="0"/>
                  <w:marRight w:val="0"/>
                  <w:marTop w:val="0"/>
                  <w:marBottom w:val="0"/>
                  <w:divBdr>
                    <w:top w:val="none" w:sz="0" w:space="0" w:color="auto"/>
                    <w:left w:val="none" w:sz="0" w:space="0" w:color="auto"/>
                    <w:bottom w:val="none" w:sz="0" w:space="0" w:color="auto"/>
                    <w:right w:val="none" w:sz="0" w:space="0" w:color="auto"/>
                  </w:divBdr>
                  <w:divsChild>
                    <w:div w:id="1832065894">
                      <w:marLeft w:val="0"/>
                      <w:marRight w:val="0"/>
                      <w:marTop w:val="0"/>
                      <w:marBottom w:val="0"/>
                      <w:divBdr>
                        <w:top w:val="none" w:sz="0" w:space="0" w:color="auto"/>
                        <w:left w:val="none" w:sz="0" w:space="0" w:color="auto"/>
                        <w:bottom w:val="none" w:sz="0" w:space="0" w:color="auto"/>
                        <w:right w:val="none" w:sz="0" w:space="0" w:color="auto"/>
                      </w:divBdr>
                      <w:divsChild>
                        <w:div w:id="1532303641">
                          <w:marLeft w:val="0"/>
                          <w:marRight w:val="0"/>
                          <w:marTop w:val="0"/>
                          <w:marBottom w:val="0"/>
                          <w:divBdr>
                            <w:top w:val="none" w:sz="0" w:space="0" w:color="auto"/>
                            <w:left w:val="none" w:sz="0" w:space="0" w:color="auto"/>
                            <w:bottom w:val="none" w:sz="0" w:space="0" w:color="auto"/>
                            <w:right w:val="none" w:sz="0" w:space="0" w:color="auto"/>
                          </w:divBdr>
                          <w:divsChild>
                            <w:div w:id="839583560">
                              <w:marLeft w:val="0"/>
                              <w:marRight w:val="0"/>
                              <w:marTop w:val="0"/>
                              <w:marBottom w:val="0"/>
                              <w:divBdr>
                                <w:top w:val="none" w:sz="0" w:space="0" w:color="auto"/>
                                <w:left w:val="none" w:sz="0" w:space="0" w:color="auto"/>
                                <w:bottom w:val="none" w:sz="0" w:space="0" w:color="auto"/>
                                <w:right w:val="none" w:sz="0" w:space="0" w:color="auto"/>
                              </w:divBdr>
                              <w:divsChild>
                                <w:div w:id="639383510">
                                  <w:marLeft w:val="0"/>
                                  <w:marRight w:val="0"/>
                                  <w:marTop w:val="0"/>
                                  <w:marBottom w:val="0"/>
                                  <w:divBdr>
                                    <w:top w:val="none" w:sz="0" w:space="0" w:color="auto"/>
                                    <w:left w:val="none" w:sz="0" w:space="0" w:color="auto"/>
                                    <w:bottom w:val="none" w:sz="0" w:space="0" w:color="auto"/>
                                    <w:right w:val="none" w:sz="0" w:space="0" w:color="auto"/>
                                  </w:divBdr>
                                  <w:divsChild>
                                    <w:div w:id="1643071747">
                                      <w:marLeft w:val="0"/>
                                      <w:marRight w:val="0"/>
                                      <w:marTop w:val="0"/>
                                      <w:marBottom w:val="0"/>
                                      <w:divBdr>
                                        <w:top w:val="none" w:sz="0" w:space="0" w:color="auto"/>
                                        <w:left w:val="none" w:sz="0" w:space="0" w:color="auto"/>
                                        <w:bottom w:val="none" w:sz="0" w:space="0" w:color="auto"/>
                                        <w:right w:val="none" w:sz="0" w:space="0" w:color="auto"/>
                                      </w:divBdr>
                                      <w:divsChild>
                                        <w:div w:id="1247301924">
                                          <w:marLeft w:val="0"/>
                                          <w:marRight w:val="0"/>
                                          <w:marTop w:val="0"/>
                                          <w:marBottom w:val="0"/>
                                          <w:divBdr>
                                            <w:top w:val="none" w:sz="0" w:space="0" w:color="auto"/>
                                            <w:left w:val="none" w:sz="0" w:space="0" w:color="auto"/>
                                            <w:bottom w:val="none" w:sz="0" w:space="0" w:color="auto"/>
                                            <w:right w:val="none" w:sz="0" w:space="0" w:color="auto"/>
                                          </w:divBdr>
                                          <w:divsChild>
                                            <w:div w:id="935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2023-04-04T06:07:00Z</dcterms:modified>
</cp:coreProperties>
</file>