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80" w:lineRule="exact"/>
        <w:jc w:val="center"/>
        <w:rPr>
          <w:rFonts w:eastAsia="方正小标宋_GBK"/>
          <w:sz w:val="44"/>
          <w:szCs w:val="44"/>
        </w:rPr>
      </w:pPr>
      <w:r>
        <w:rPr>
          <w:rFonts w:eastAsia="方正小标宋_GBK"/>
          <w:sz w:val="44"/>
          <w:szCs w:val="44"/>
        </w:rPr>
        <w:t>长白朝鲜族自治县</w:t>
      </w:r>
    </w:p>
    <w:p>
      <w:pPr>
        <w:adjustRightInd w:val="0"/>
        <w:snapToGrid w:val="0"/>
        <w:spacing w:line="680" w:lineRule="exact"/>
        <w:jc w:val="center"/>
        <w:rPr>
          <w:rFonts w:eastAsia="方正小标宋_GBK"/>
          <w:sz w:val="44"/>
          <w:szCs w:val="44"/>
        </w:rPr>
      </w:pPr>
      <w:r>
        <w:rPr>
          <w:rFonts w:eastAsia="方正小标宋_GBK"/>
          <w:sz w:val="44"/>
          <w:szCs w:val="44"/>
        </w:rPr>
        <w:t>生态文明建设示范区建设规划</w:t>
      </w:r>
    </w:p>
    <w:p>
      <w:pPr>
        <w:adjustRightInd w:val="0"/>
        <w:snapToGrid w:val="0"/>
        <w:spacing w:line="680" w:lineRule="exact"/>
        <w:jc w:val="center"/>
        <w:rPr>
          <w:rFonts w:eastAsia="方正小标宋_GBK"/>
          <w:sz w:val="44"/>
          <w:szCs w:val="44"/>
        </w:rPr>
      </w:pPr>
      <w:r>
        <w:rPr>
          <w:rFonts w:eastAsia="方正小标宋_GBK"/>
          <w:sz w:val="44"/>
          <w:szCs w:val="44"/>
        </w:rPr>
        <w:t>（2024</w:t>
      </w:r>
      <w:r>
        <w:rPr>
          <w:rFonts w:hint="eastAsia" w:eastAsia="方正小标宋_GBK"/>
          <w:sz w:val="44"/>
          <w:szCs w:val="44"/>
        </w:rPr>
        <w:t>—</w:t>
      </w:r>
      <w:r>
        <w:rPr>
          <w:rFonts w:eastAsia="方正小标宋_GBK"/>
          <w:sz w:val="44"/>
          <w:szCs w:val="44"/>
        </w:rPr>
        <w:t>2030年）</w:t>
      </w:r>
    </w:p>
    <w:p>
      <w:pPr>
        <w:adjustRightInd w:val="0"/>
        <w:snapToGrid w:val="0"/>
        <w:spacing w:line="560" w:lineRule="exact"/>
        <w:jc w:val="center"/>
      </w:pPr>
      <w:bookmarkStart w:id="185" w:name="_GoBack"/>
      <w:bookmarkEnd w:id="185"/>
    </w:p>
    <w:p>
      <w:pPr>
        <w:adjustRightInd w:val="0"/>
        <w:snapToGrid w:val="0"/>
        <w:spacing w:line="560" w:lineRule="exact"/>
        <w:jc w:val="center"/>
        <w:rPr>
          <w:rFonts w:hint="eastAsia" w:ascii="方正黑体_GBK" w:eastAsia="方正黑体_GBK"/>
        </w:rPr>
      </w:pPr>
      <w:bookmarkStart w:id="0" w:name="_Toc2151"/>
      <w:bookmarkStart w:id="1" w:name="_Toc2000"/>
      <w:r>
        <w:rPr>
          <w:rFonts w:hint="eastAsia" w:ascii="方正黑体_GBK" w:eastAsia="方正黑体_GBK"/>
        </w:rPr>
        <w:t>前    言</w:t>
      </w:r>
      <w:bookmarkEnd w:id="0"/>
      <w:bookmarkEnd w:id="1"/>
    </w:p>
    <w:p>
      <w:pPr>
        <w:adjustRightInd w:val="0"/>
        <w:snapToGrid w:val="0"/>
        <w:spacing w:line="560" w:lineRule="exact"/>
      </w:pPr>
    </w:p>
    <w:p>
      <w:pPr>
        <w:adjustRightInd w:val="0"/>
        <w:snapToGrid w:val="0"/>
        <w:spacing w:line="560" w:lineRule="exact"/>
        <w:ind w:firstLine="632" w:firstLineChars="200"/>
      </w:pPr>
      <w:r>
        <w:t>生态文明建设是关系人民福祉、关乎民族未来的大计，党中央、国务院高度重视生态文明建设，党的十八大把生态文明建设纳入中国特色社会主</w:t>
      </w:r>
      <w:r>
        <w:rPr>
          <w:rFonts w:hint="eastAsia" w:ascii="方正仿宋_GBK"/>
        </w:rPr>
        <w:t>义事业“五位一体”总体布局和“四个全面”</w:t>
      </w:r>
      <w:r>
        <w:t>战略布局，明确提出要大力推进生态文明建设，努力建设美丽中国，实现中华民族永续发</w:t>
      </w:r>
      <w:r>
        <w:rPr>
          <w:rFonts w:hint="eastAsia" w:ascii="方正仿宋_GBK"/>
        </w:rPr>
        <w:t>展。党的十九大把“坚持人与自然和谐共生”作为新时代坚持和发展中国特色社会主义的基本方略之一，为未来中国的生态文明建设和绿色发展指明了方向、规划了路线。党的二十大报告指出“中国式现代化是人与自然和谐共生的现代化”，明确了我国新时代生态文明建设的战略任务，推动绿色发展，促进人与自然和谐共生。党的</w:t>
      </w:r>
      <w:r>
        <w:t>二十大报告从统筹产业结构调整、污染治理、生态保护、应对气候变化等多元角度，全面系统阐述了我国持续推动生态文明建设的战略思路与方法，并对未来生态环境保护提出一系列新观点、新要求、新方向和新部署。</w:t>
      </w:r>
    </w:p>
    <w:p>
      <w:pPr>
        <w:adjustRightInd w:val="0"/>
        <w:snapToGrid w:val="0"/>
        <w:spacing w:line="560" w:lineRule="exact"/>
        <w:ind w:firstLine="632" w:firstLineChars="200"/>
        <w:rPr>
          <w:rFonts w:hint="eastAsia" w:eastAsia="方正小标宋_GBK"/>
          <w:sz w:val="44"/>
          <w:szCs w:val="44"/>
        </w:rPr>
      </w:pPr>
      <w:r>
        <w:t>生态文明建设示范区创建是贯彻习近平生态文明思想和党中央、国务院关于生态文明建设决策部署的重要举措和有力抓</w:t>
      </w:r>
      <w:r>
        <w:rPr>
          <w:rFonts w:hint="eastAsia" w:ascii="方正仿宋_GBK"/>
        </w:rPr>
        <w:t>手。为进一步加强生态文明示范建设和管理工作，生态环境部办</w:t>
      </w:r>
      <w:r>
        <w:t>公厅2024年2月2日印</w:t>
      </w:r>
      <w:r>
        <w:rPr>
          <w:rFonts w:hint="eastAsia" w:ascii="方正仿宋_GBK"/>
        </w:rPr>
        <w:t>发了《关于印发〈生态文明建设示范区（市）建设指标〉〈生态文明建设示范区（县）建设指标〉〈生态文明建设示范区管理规程〉〈“绿水青山就是金山银山”实践创新基地建设管理规程〉的通知》（环办生态</w:t>
      </w:r>
      <w:r>
        <w:rPr>
          <w:rFonts w:hint="eastAsia"/>
        </w:rPr>
        <w:t>〔</w:t>
      </w:r>
      <w:r>
        <w:t>2024</w:t>
      </w:r>
      <w:r>
        <w:rPr>
          <w:rFonts w:hint="eastAsia"/>
        </w:rPr>
        <w:t>〕</w:t>
      </w:r>
      <w:r>
        <w:t>4号</w:t>
      </w:r>
      <w:r>
        <w:rPr>
          <w:rFonts w:hint="eastAsia" w:ascii="方正仿宋_GBK"/>
        </w:rPr>
        <w:t>），进一步完善了生态文明建设示范区的建设指标体系，促进了生态文明建设示范区规划、申报、技术评估、考核验收、公示、公告及监督管理等工作科学化、规范化、制度化。</w:t>
      </w:r>
    </w:p>
    <w:p>
      <w:pPr>
        <w:spacing w:line="560" w:lineRule="exact"/>
        <w:ind w:firstLine="632" w:firstLineChars="200"/>
        <w:rPr>
          <w:rFonts w:hint="eastAsia" w:ascii="方正仿宋_GBK"/>
        </w:rPr>
      </w:pPr>
      <w:r>
        <w:rPr>
          <w:rFonts w:hint="eastAsia" w:ascii="方正仿宋_GBK"/>
        </w:rPr>
        <w:t>长白朝鲜族自治县地处吉林省东南部，长白山主峰南麓，鸭绿江源头，素有“长白山下第一县、鸭绿江源第一城”之美誉。长白朝鲜族自治县区位独特、历史悠久、生态优越、资源丰富、民族风情浓郁，边境特色鲜明，是吉林省对外开放的前沿窗口，也是“一带一路”东北亚经济圈的重要节点。境内水资源、林地、物种及硅藻土资源丰富；拥有我国第一个以珍稀濒危冷水性鱼类为主要保护对象的国际级自然保护区—吉林鸭绿江上游国家级自然保护区。吉林长白鸭绿江源湿地省级自然保护区和</w:t>
      </w:r>
      <w:r>
        <w:rPr>
          <w:rFonts w:hint="eastAsia" w:ascii="方正仿宋_GBK"/>
          <w:color w:val="0000FF"/>
        </w:rPr>
        <w:t>吉林长白泥粒河国家湿地公园</w:t>
      </w:r>
      <w:r>
        <w:rPr>
          <w:rFonts w:hint="eastAsia" w:ascii="方正仿宋_GBK"/>
        </w:rPr>
        <w:t>，森林覆盖率较高，境内有野生经济植物和药材资</w:t>
      </w:r>
      <w:r>
        <w:t>源1200多</w:t>
      </w:r>
      <w:r>
        <w:rPr>
          <w:rFonts w:hint="eastAsia" w:ascii="方正仿宋_GBK"/>
        </w:rPr>
        <w:t>种，素有“立体资源宝库”“长白林海”之美誉，为国家重点生态功能区。长白朝鲜族自治</w:t>
      </w:r>
      <w:r>
        <w:t>县2019年修订了《吉林省白山市长白朝鲜族自治县国家生态文明</w:t>
      </w:r>
      <w:r>
        <w:rPr>
          <w:rFonts w:hint="eastAsia"/>
        </w:rPr>
        <w:t>建设示范县</w:t>
      </w:r>
      <w:r>
        <w:t>建设规划（2019</w:t>
      </w:r>
      <w:r>
        <w:rPr>
          <w:rFonts w:hint="eastAsia"/>
        </w:rPr>
        <w:t>—</w:t>
      </w:r>
      <w:r>
        <w:t>2023年）》，2022</w:t>
      </w:r>
      <w:r>
        <w:rPr>
          <w:rFonts w:hint="eastAsia" w:ascii="方正仿宋_GBK"/>
        </w:rPr>
        <w:t>年获得“省级生态县”的称号，具备良好的生态文明建设示范区建设基础和条件。</w:t>
      </w:r>
    </w:p>
    <w:p>
      <w:pPr>
        <w:spacing w:line="560" w:lineRule="exact"/>
        <w:ind w:firstLine="632" w:firstLineChars="200"/>
        <w:rPr>
          <w:rFonts w:hint="eastAsia"/>
          <w:color w:val="000000"/>
        </w:rPr>
      </w:pPr>
      <w:r>
        <w:rPr>
          <w:rFonts w:hint="eastAsia" w:ascii="方正仿宋_GBK"/>
        </w:rPr>
        <w:t>近年来，长白朝鲜族自治县深入实施生态立县战略，强力推进生态文明建设，深入打好污染防治攻坚战，努力建设生态文明建设示范区。长白朝鲜族自治县人民政府组织编制《长白朝鲜族自治县生态文明建设示范区建设规划</w:t>
      </w:r>
      <w:r>
        <w:t>（2024</w:t>
      </w:r>
      <w:r>
        <w:rPr>
          <w:rFonts w:hint="eastAsia"/>
        </w:rPr>
        <w:t>—</w:t>
      </w:r>
      <w:r>
        <w:t>2030年）》（以下简称《规划》）。《规划》以</w:t>
      </w:r>
      <w:r>
        <w:rPr>
          <w:rFonts w:hint="eastAsia" w:ascii="方正仿宋_GBK"/>
          <w:color w:val="000000"/>
        </w:rPr>
        <w:t>《生态环境部办</w:t>
      </w:r>
      <w:r>
        <w:rPr>
          <w:color w:val="000000"/>
        </w:rPr>
        <w:t>公厅</w:t>
      </w:r>
      <w:r>
        <w:rPr>
          <w:rFonts w:hint="eastAsia" w:ascii="方正仿宋_GBK"/>
          <w:color w:val="000000"/>
        </w:rPr>
        <w:t>关于印发〈生态文明建设示范区（市）建设指标〉〈生态文明建设示范区（县）建设指标〉〈生态文明建设示范区管理规程〉〈“绿水青山就是金山银山”实践创新基地建设管理规程〉的通知》（环办生态</w:t>
      </w:r>
      <w:r>
        <w:rPr>
          <w:rFonts w:hint="eastAsia"/>
        </w:rPr>
        <w:t>〔</w:t>
      </w:r>
      <w:r>
        <w:t>2024</w:t>
      </w:r>
      <w:r>
        <w:rPr>
          <w:rFonts w:hint="eastAsia"/>
        </w:rPr>
        <w:t>〕</w:t>
      </w:r>
      <w:r>
        <w:rPr>
          <w:color w:val="000000"/>
        </w:rPr>
        <w:t>4号</w:t>
      </w:r>
      <w:r>
        <w:rPr>
          <w:rFonts w:hint="eastAsia" w:ascii="方正仿宋_GBK"/>
          <w:color w:val="000000"/>
        </w:rPr>
        <w:t>）</w:t>
      </w:r>
      <w:r>
        <w:rPr>
          <w:rFonts w:hint="eastAsia" w:ascii="方正仿宋_GBK"/>
        </w:rPr>
        <w:t>修订的《生态文明建设示范区管理规程》《生态文明建设示范区（</w:t>
      </w:r>
      <w:r>
        <w:rPr>
          <w:rFonts w:hint="eastAsia" w:ascii="方正仿宋_GBK"/>
          <w:color w:val="000000"/>
        </w:rPr>
        <w:t>县）建设指标》》为依据，对全县生态文明建设工作作出整体规划，在这一规划指导下，长白朝鲜族自治县全面推动生态文明建设，全面落实生态强省、生态立县部署要求，坚持保护优先，坚持绿色发展，坚持多元共建，努力绘制人与自然和谐共生的美丽画卷。</w:t>
      </w:r>
    </w:p>
    <w:p>
      <w:pPr>
        <w:spacing w:line="560" w:lineRule="exact"/>
        <w:ind w:firstLine="632" w:firstLineChars="200"/>
        <w:rPr>
          <w:rFonts w:hint="eastAsia" w:ascii="方正仿宋_GBK"/>
        </w:rPr>
      </w:pPr>
    </w:p>
    <w:p>
      <w:pPr>
        <w:spacing w:line="560" w:lineRule="exact"/>
        <w:ind w:firstLine="632" w:firstLineChars="200"/>
        <w:rPr>
          <w:rFonts w:hint="eastAsia" w:ascii="方正仿宋_GBK"/>
        </w:rPr>
      </w:pPr>
    </w:p>
    <w:p>
      <w:pPr>
        <w:spacing w:line="560" w:lineRule="exact"/>
        <w:ind w:firstLine="632" w:firstLineChars="200"/>
        <w:rPr>
          <w:rFonts w:hint="eastAsia" w:ascii="方正仿宋_GBK"/>
        </w:rPr>
      </w:pPr>
    </w:p>
    <w:p>
      <w:pPr>
        <w:spacing w:line="560" w:lineRule="exact"/>
        <w:ind w:firstLine="632" w:firstLineChars="200"/>
        <w:rPr>
          <w:rFonts w:hint="eastAsia" w:ascii="方正仿宋_GBK"/>
        </w:rPr>
      </w:pPr>
    </w:p>
    <w:p>
      <w:pPr>
        <w:spacing w:line="560" w:lineRule="exact"/>
        <w:ind w:firstLine="632" w:firstLineChars="200"/>
        <w:rPr>
          <w:rFonts w:hint="eastAsia" w:ascii="方正仿宋_GBK"/>
        </w:rPr>
      </w:pPr>
    </w:p>
    <w:p>
      <w:pPr>
        <w:spacing w:line="560" w:lineRule="exact"/>
        <w:ind w:firstLine="632" w:firstLineChars="200"/>
        <w:rPr>
          <w:rFonts w:hint="eastAsia" w:ascii="方正仿宋_GBK"/>
        </w:rPr>
      </w:pPr>
    </w:p>
    <w:p>
      <w:pPr>
        <w:spacing w:line="560" w:lineRule="exact"/>
        <w:ind w:firstLine="632" w:firstLineChars="200"/>
        <w:rPr>
          <w:rFonts w:hint="eastAsia" w:ascii="方正仿宋_GBK"/>
        </w:rPr>
      </w:pPr>
    </w:p>
    <w:p>
      <w:pPr>
        <w:spacing w:line="560" w:lineRule="exact"/>
        <w:ind w:firstLine="632" w:firstLineChars="200"/>
        <w:rPr>
          <w:rFonts w:hint="eastAsia" w:ascii="方正仿宋_GBK"/>
        </w:rPr>
      </w:pPr>
    </w:p>
    <w:p>
      <w:pPr>
        <w:spacing w:line="560" w:lineRule="exact"/>
        <w:jc w:val="center"/>
        <w:rPr>
          <w:rFonts w:hint="eastAsia" w:ascii="方正黑体_GBK" w:eastAsia="方正黑体_GBK"/>
        </w:rPr>
      </w:pPr>
      <w:r>
        <w:rPr>
          <w:rFonts w:hint="eastAsia" w:ascii="方正黑体_GBK" w:eastAsia="方正黑体_GBK"/>
        </w:rPr>
        <w:t>目    录</w:t>
      </w:r>
    </w:p>
    <w:p>
      <w:pPr>
        <w:spacing w:line="560" w:lineRule="exact"/>
        <w:jc w:val="center"/>
        <w:rPr>
          <w:rFonts w:hint="eastAsia" w:ascii="方正黑体_GBK" w:eastAsia="方正黑体_GBK"/>
        </w:rPr>
      </w:pPr>
    </w:p>
    <w:p>
      <w:pPr>
        <w:spacing w:line="560" w:lineRule="exact"/>
        <w:ind w:firstLine="632" w:firstLineChars="200"/>
        <w:rPr>
          <w:rFonts w:hint="eastAsia" w:ascii="方正黑体_GBK" w:eastAsia="方正黑体_GBK"/>
        </w:rPr>
      </w:pPr>
      <w:r>
        <w:rPr>
          <w:rFonts w:hint="eastAsia" w:ascii="方正黑体_GBK" w:eastAsia="方正黑体_GBK"/>
        </w:rPr>
        <w:t>第一章  工作基础与形势分析</w:t>
      </w:r>
    </w:p>
    <w:p>
      <w:pPr>
        <w:spacing w:line="560" w:lineRule="exact"/>
        <w:ind w:firstLine="632" w:firstLineChars="200"/>
        <w:rPr>
          <w:rFonts w:hint="eastAsia" w:ascii="方正楷体_GBK" w:eastAsia="方正楷体_GBK"/>
        </w:rPr>
      </w:pPr>
      <w:r>
        <w:rPr>
          <w:rFonts w:hint="eastAsia" w:ascii="方正楷体_GBK" w:eastAsia="方正楷体_GBK"/>
        </w:rPr>
        <w:t>（一） 建设基础</w:t>
      </w:r>
    </w:p>
    <w:p>
      <w:pPr>
        <w:spacing w:line="560" w:lineRule="exact"/>
        <w:ind w:firstLine="632" w:firstLineChars="200"/>
        <w:rPr>
          <w:rFonts w:hint="eastAsia" w:ascii="方正楷体_GBK" w:eastAsia="方正楷体_GBK"/>
        </w:rPr>
      </w:pPr>
      <w:r>
        <w:rPr>
          <w:rFonts w:hint="eastAsia" w:ascii="方正楷体_GBK" w:eastAsia="方正楷体_GBK"/>
        </w:rPr>
        <w:t>（二） 存在问题与机遇挑战</w:t>
      </w:r>
    </w:p>
    <w:p>
      <w:pPr>
        <w:spacing w:line="560" w:lineRule="exact"/>
        <w:ind w:firstLine="632" w:firstLineChars="200"/>
        <w:rPr>
          <w:rFonts w:hint="eastAsia" w:ascii="方正黑体_GBK" w:eastAsia="方正黑体_GBK"/>
        </w:rPr>
      </w:pPr>
      <w:r>
        <w:rPr>
          <w:rFonts w:hint="eastAsia" w:ascii="方正黑体_GBK" w:eastAsia="方正黑体_GBK"/>
        </w:rPr>
        <w:t>第二章  规划总则</w:t>
      </w:r>
    </w:p>
    <w:p>
      <w:pPr>
        <w:spacing w:line="560" w:lineRule="exact"/>
        <w:ind w:firstLine="632" w:firstLineChars="200"/>
        <w:rPr>
          <w:rFonts w:hint="eastAsia" w:ascii="方正楷体_GBK" w:eastAsia="方正楷体_GBK"/>
        </w:rPr>
      </w:pPr>
      <w:r>
        <w:rPr>
          <w:rFonts w:hint="eastAsia" w:ascii="方正楷体_GBK" w:eastAsia="方正楷体_GBK"/>
        </w:rPr>
        <w:t>（一） 指导思想</w:t>
      </w:r>
    </w:p>
    <w:p>
      <w:pPr>
        <w:spacing w:line="560" w:lineRule="exact"/>
        <w:ind w:firstLine="632" w:firstLineChars="200"/>
        <w:rPr>
          <w:rFonts w:hint="eastAsia" w:ascii="方正楷体_GBK" w:eastAsia="方正楷体_GBK"/>
        </w:rPr>
      </w:pPr>
      <w:r>
        <w:rPr>
          <w:rFonts w:hint="eastAsia" w:ascii="方正楷体_GBK" w:eastAsia="方正楷体_GBK"/>
        </w:rPr>
        <w:t>（二） 规划原则</w:t>
      </w:r>
    </w:p>
    <w:p>
      <w:pPr>
        <w:spacing w:line="560" w:lineRule="exact"/>
        <w:ind w:firstLine="632" w:firstLineChars="200"/>
        <w:rPr>
          <w:rFonts w:hint="eastAsia" w:ascii="方正楷体_GBK" w:eastAsia="方正楷体_GBK"/>
        </w:rPr>
      </w:pPr>
      <w:r>
        <w:rPr>
          <w:rFonts w:hint="eastAsia" w:ascii="方正楷体_GBK" w:eastAsia="方正楷体_GBK"/>
        </w:rPr>
        <w:t>（三） 编制依据</w:t>
      </w:r>
    </w:p>
    <w:p>
      <w:pPr>
        <w:spacing w:line="560" w:lineRule="exact"/>
        <w:ind w:firstLine="632" w:firstLineChars="200"/>
        <w:rPr>
          <w:rFonts w:hint="eastAsia" w:ascii="方正楷体_GBK" w:eastAsia="方正楷体_GBK"/>
        </w:rPr>
      </w:pPr>
      <w:r>
        <w:rPr>
          <w:rFonts w:hint="eastAsia" w:ascii="方正楷体_GBK" w:eastAsia="方正楷体_GBK"/>
        </w:rPr>
        <w:t>（四） 规划范围</w:t>
      </w:r>
    </w:p>
    <w:p>
      <w:pPr>
        <w:spacing w:line="560" w:lineRule="exact"/>
        <w:ind w:firstLine="632" w:firstLineChars="200"/>
        <w:rPr>
          <w:rFonts w:hint="eastAsia" w:ascii="方正楷体_GBK" w:eastAsia="方正楷体_GBK"/>
        </w:rPr>
      </w:pPr>
      <w:r>
        <w:rPr>
          <w:rFonts w:hint="eastAsia" w:ascii="方正楷体_GBK" w:eastAsia="方正楷体_GBK"/>
        </w:rPr>
        <w:t>（五） 规划期限</w:t>
      </w:r>
    </w:p>
    <w:p>
      <w:pPr>
        <w:spacing w:line="560" w:lineRule="exact"/>
        <w:ind w:firstLine="632" w:firstLineChars="200"/>
        <w:rPr>
          <w:rFonts w:hint="eastAsia" w:ascii="方正楷体_GBK" w:eastAsia="方正楷体_GBK"/>
        </w:rPr>
      </w:pPr>
      <w:r>
        <w:rPr>
          <w:rFonts w:hint="eastAsia" w:ascii="方正楷体_GBK" w:eastAsia="方正楷体_GBK"/>
        </w:rPr>
        <w:t>（六） 规划目标</w:t>
      </w:r>
    </w:p>
    <w:p>
      <w:pPr>
        <w:spacing w:line="560" w:lineRule="exact"/>
        <w:ind w:firstLine="632" w:firstLineChars="200"/>
        <w:rPr>
          <w:rFonts w:hint="eastAsia" w:ascii="方正楷体_GBK" w:eastAsia="方正楷体_GBK"/>
        </w:rPr>
      </w:pPr>
      <w:r>
        <w:rPr>
          <w:rFonts w:hint="eastAsia" w:ascii="方正楷体_GBK" w:eastAsia="方正楷体_GBK"/>
        </w:rPr>
        <w:t>（七） 规划指标</w:t>
      </w:r>
    </w:p>
    <w:p>
      <w:pPr>
        <w:spacing w:line="560" w:lineRule="exact"/>
        <w:ind w:firstLine="632" w:firstLineChars="200"/>
        <w:rPr>
          <w:rFonts w:hint="eastAsia" w:ascii="方正黑体_GBK" w:eastAsia="方正黑体_GBK"/>
        </w:rPr>
      </w:pPr>
      <w:r>
        <w:rPr>
          <w:rFonts w:hint="eastAsia" w:ascii="方正黑体_GBK" w:eastAsia="方正黑体_GBK"/>
        </w:rPr>
        <w:t>第三章  规划任务与措施</w:t>
      </w:r>
    </w:p>
    <w:p>
      <w:pPr>
        <w:spacing w:line="560" w:lineRule="exact"/>
        <w:ind w:firstLine="632" w:firstLineChars="200"/>
        <w:rPr>
          <w:rFonts w:hint="eastAsia" w:ascii="方正楷体_GBK" w:eastAsia="方正楷体_GBK"/>
        </w:rPr>
      </w:pPr>
      <w:r>
        <w:rPr>
          <w:rFonts w:hint="eastAsia" w:ascii="方正楷体_GBK" w:eastAsia="方正楷体_GBK"/>
        </w:rPr>
        <w:t>（一） 生态制度体系建设</w:t>
      </w:r>
    </w:p>
    <w:p>
      <w:pPr>
        <w:spacing w:line="560" w:lineRule="exact"/>
        <w:ind w:firstLine="632" w:firstLineChars="200"/>
        <w:rPr>
          <w:rFonts w:hint="eastAsia" w:ascii="方正楷体_GBK" w:eastAsia="方正楷体_GBK"/>
        </w:rPr>
      </w:pPr>
      <w:r>
        <w:rPr>
          <w:rFonts w:hint="eastAsia" w:ascii="方正楷体_GBK" w:eastAsia="方正楷体_GBK"/>
        </w:rPr>
        <w:t>（二） 生态安全体系建设</w:t>
      </w:r>
    </w:p>
    <w:p>
      <w:pPr>
        <w:spacing w:line="560" w:lineRule="exact"/>
        <w:ind w:firstLine="632" w:firstLineChars="200"/>
        <w:rPr>
          <w:rFonts w:hint="eastAsia" w:ascii="方正楷体_GBK" w:eastAsia="方正楷体_GBK"/>
        </w:rPr>
      </w:pPr>
      <w:r>
        <w:rPr>
          <w:rFonts w:hint="eastAsia" w:ascii="方正楷体_GBK" w:eastAsia="方正楷体_GBK"/>
        </w:rPr>
        <w:t>（三） 生态空间体系建设</w:t>
      </w:r>
    </w:p>
    <w:p>
      <w:pPr>
        <w:spacing w:line="560" w:lineRule="exact"/>
        <w:ind w:firstLine="632" w:firstLineChars="200"/>
        <w:rPr>
          <w:rFonts w:hint="eastAsia" w:ascii="方正楷体_GBK" w:eastAsia="方正楷体_GBK"/>
        </w:rPr>
      </w:pPr>
      <w:r>
        <w:rPr>
          <w:rFonts w:hint="eastAsia" w:ascii="方正楷体_GBK" w:eastAsia="方正楷体_GBK"/>
        </w:rPr>
        <w:t>（四） 生态经济体系建设</w:t>
      </w:r>
    </w:p>
    <w:p>
      <w:pPr>
        <w:spacing w:line="560" w:lineRule="exact"/>
        <w:ind w:firstLine="632" w:firstLineChars="200"/>
        <w:rPr>
          <w:rFonts w:hint="eastAsia" w:ascii="方正楷体_GBK" w:eastAsia="方正楷体_GBK"/>
        </w:rPr>
      </w:pPr>
      <w:r>
        <w:rPr>
          <w:rFonts w:hint="eastAsia" w:ascii="方正楷体_GBK" w:eastAsia="方正楷体_GBK"/>
        </w:rPr>
        <w:t>（五） 生态生活体系建设</w:t>
      </w:r>
    </w:p>
    <w:p>
      <w:pPr>
        <w:spacing w:line="560" w:lineRule="exact"/>
        <w:ind w:firstLine="632" w:firstLineChars="200"/>
        <w:rPr>
          <w:rFonts w:hint="eastAsia" w:ascii="方正楷体_GBK" w:eastAsia="方正楷体_GBK"/>
        </w:rPr>
      </w:pPr>
      <w:r>
        <w:rPr>
          <w:rFonts w:hint="eastAsia" w:ascii="方正楷体_GBK" w:eastAsia="方正楷体_GBK"/>
        </w:rPr>
        <w:t>（六） 生态文化体系建设</w:t>
      </w:r>
    </w:p>
    <w:p>
      <w:pPr>
        <w:spacing w:line="560" w:lineRule="exact"/>
        <w:ind w:firstLine="632" w:firstLineChars="200"/>
        <w:rPr>
          <w:rFonts w:hint="eastAsia" w:ascii="方正黑体_GBK" w:eastAsia="方正黑体_GBK"/>
        </w:rPr>
      </w:pPr>
      <w:r>
        <w:rPr>
          <w:rFonts w:hint="eastAsia" w:ascii="方正黑体_GBK" w:eastAsia="方正黑体_GBK"/>
        </w:rPr>
        <w:t>第四章  重点工程与效益分析</w:t>
      </w:r>
    </w:p>
    <w:p>
      <w:pPr>
        <w:spacing w:line="560" w:lineRule="exact"/>
        <w:ind w:firstLine="632" w:firstLineChars="200"/>
        <w:rPr>
          <w:rFonts w:hint="eastAsia" w:ascii="方正楷体_GBK" w:eastAsia="方正楷体_GBK"/>
        </w:rPr>
      </w:pPr>
      <w:r>
        <w:rPr>
          <w:rFonts w:hint="eastAsia" w:ascii="方正楷体_GBK" w:eastAsia="方正楷体_GBK"/>
        </w:rPr>
        <w:t>（一） 工程内容及投资</w:t>
      </w:r>
    </w:p>
    <w:p>
      <w:pPr>
        <w:spacing w:line="560" w:lineRule="exact"/>
        <w:ind w:firstLine="632" w:firstLineChars="200"/>
        <w:rPr>
          <w:rFonts w:hint="eastAsia" w:ascii="方正楷体_GBK" w:eastAsia="方正楷体_GBK"/>
        </w:rPr>
      </w:pPr>
      <w:r>
        <w:rPr>
          <w:rFonts w:hint="eastAsia" w:ascii="方正楷体_GBK" w:eastAsia="方正楷体_GBK"/>
        </w:rPr>
        <w:t>（二） 效益分析</w:t>
      </w:r>
    </w:p>
    <w:p>
      <w:pPr>
        <w:spacing w:line="560" w:lineRule="exact"/>
        <w:ind w:firstLine="632" w:firstLineChars="200"/>
        <w:rPr>
          <w:rFonts w:hint="eastAsia" w:ascii="方正黑体_GBK" w:eastAsia="方正黑体_GBK"/>
        </w:rPr>
      </w:pPr>
      <w:r>
        <w:rPr>
          <w:rFonts w:hint="eastAsia" w:ascii="方正黑体_GBK" w:eastAsia="方正黑体_GBK"/>
        </w:rPr>
        <w:t>第五章  保障措施</w:t>
      </w:r>
    </w:p>
    <w:p>
      <w:pPr>
        <w:spacing w:line="560" w:lineRule="exact"/>
        <w:ind w:firstLine="632" w:firstLineChars="200"/>
        <w:rPr>
          <w:rFonts w:hint="eastAsia" w:ascii="方正楷体_GBK" w:eastAsia="方正楷体_GBK"/>
        </w:rPr>
      </w:pPr>
      <w:r>
        <w:rPr>
          <w:rFonts w:hint="eastAsia" w:ascii="方正楷体_GBK" w:eastAsia="方正楷体_GBK"/>
        </w:rPr>
        <w:t>（一） 组织领导</w:t>
      </w:r>
    </w:p>
    <w:p>
      <w:pPr>
        <w:spacing w:line="560" w:lineRule="exact"/>
        <w:ind w:firstLine="632" w:firstLineChars="200"/>
        <w:rPr>
          <w:rFonts w:hint="eastAsia" w:ascii="方正楷体_GBK" w:eastAsia="方正楷体_GBK"/>
        </w:rPr>
      </w:pPr>
      <w:r>
        <w:rPr>
          <w:rFonts w:hint="eastAsia" w:ascii="方正楷体_GBK" w:eastAsia="方正楷体_GBK"/>
        </w:rPr>
        <w:t>（二） 监督考核</w:t>
      </w:r>
    </w:p>
    <w:p>
      <w:pPr>
        <w:spacing w:line="560" w:lineRule="exact"/>
        <w:ind w:firstLine="632" w:firstLineChars="200"/>
        <w:rPr>
          <w:rFonts w:hint="eastAsia" w:ascii="方正楷体_GBK" w:eastAsia="方正楷体_GBK"/>
        </w:rPr>
      </w:pPr>
      <w:r>
        <w:rPr>
          <w:rFonts w:hint="eastAsia" w:ascii="方正楷体_GBK" w:eastAsia="方正楷体_GBK"/>
        </w:rPr>
        <w:t>（三） 资金统筹</w:t>
      </w:r>
    </w:p>
    <w:p>
      <w:pPr>
        <w:spacing w:line="560" w:lineRule="exact"/>
        <w:ind w:firstLine="632" w:firstLineChars="200"/>
        <w:rPr>
          <w:rFonts w:hint="eastAsia" w:ascii="方正楷体_GBK" w:eastAsia="方正楷体_GBK"/>
        </w:rPr>
      </w:pPr>
      <w:r>
        <w:rPr>
          <w:rFonts w:hint="eastAsia" w:ascii="方正楷体_GBK" w:eastAsia="方正楷体_GBK"/>
        </w:rPr>
        <w:t>（四） 科技创新</w:t>
      </w:r>
    </w:p>
    <w:p>
      <w:pPr>
        <w:adjustRightInd w:val="0"/>
        <w:snapToGrid w:val="0"/>
        <w:spacing w:line="560" w:lineRule="exact"/>
        <w:ind w:firstLine="632" w:firstLineChars="200"/>
        <w:rPr>
          <w:rFonts w:hint="eastAsia" w:ascii="方正楷体_GBK" w:eastAsia="方正楷体_GBK"/>
        </w:rPr>
      </w:pPr>
      <w:r>
        <w:rPr>
          <w:rFonts w:hint="eastAsia" w:ascii="方正楷体_GBK" w:eastAsia="方正楷体_GBK"/>
        </w:rPr>
        <w:t>（五） 社会参与</w:t>
      </w: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spacing w:line="560" w:lineRule="exact"/>
        <w:jc w:val="center"/>
        <w:rPr>
          <w:rFonts w:hint="eastAsia" w:ascii="方正黑体_GBK" w:eastAsia="方正黑体_GBK"/>
        </w:rPr>
      </w:pPr>
      <w:bookmarkStart w:id="2" w:name="_Toc11293"/>
      <w:bookmarkStart w:id="3" w:name="_Toc679"/>
    </w:p>
    <w:p>
      <w:pPr>
        <w:spacing w:line="560" w:lineRule="exact"/>
        <w:jc w:val="center"/>
        <w:rPr>
          <w:rFonts w:hint="eastAsia" w:ascii="方正黑体_GBK" w:eastAsia="方正黑体_GBK"/>
        </w:rPr>
      </w:pPr>
      <w:r>
        <w:rPr>
          <w:rFonts w:hint="eastAsia" w:ascii="方正黑体_GBK" w:eastAsia="方正黑体_GBK"/>
        </w:rPr>
        <w:t>第一章  工作基础与形势分析</w:t>
      </w:r>
      <w:bookmarkEnd w:id="2"/>
      <w:bookmarkEnd w:id="3"/>
    </w:p>
    <w:p>
      <w:pPr>
        <w:spacing w:line="560" w:lineRule="exact"/>
        <w:jc w:val="center"/>
        <w:rPr>
          <w:rFonts w:hint="eastAsia" w:ascii="方正黑体_GBK" w:eastAsia="方正黑体_GBK"/>
        </w:rPr>
      </w:pPr>
    </w:p>
    <w:p>
      <w:pPr>
        <w:spacing w:line="560" w:lineRule="exact"/>
        <w:ind w:left="480"/>
        <w:rPr>
          <w:rFonts w:hint="eastAsia" w:ascii="方正楷体_GBK" w:eastAsia="方正楷体_GBK"/>
        </w:rPr>
      </w:pPr>
      <w:bookmarkStart w:id="4" w:name="_Toc24527"/>
      <w:bookmarkStart w:id="5" w:name="_Toc21664"/>
      <w:bookmarkStart w:id="6" w:name="_Toc2364"/>
      <w:bookmarkStart w:id="7" w:name="_Toc29534"/>
      <w:r>
        <w:rPr>
          <w:rFonts w:hint="eastAsia" w:ascii="方正楷体_GBK" w:eastAsia="方正楷体_GBK"/>
        </w:rPr>
        <w:t>（一）建设基础</w:t>
      </w:r>
      <w:bookmarkEnd w:id="4"/>
      <w:bookmarkEnd w:id="5"/>
      <w:bookmarkEnd w:id="6"/>
      <w:bookmarkEnd w:id="7"/>
      <w:r>
        <w:rPr>
          <w:rFonts w:hint="eastAsia" w:ascii="方正楷体_GBK" w:eastAsia="方正楷体_GBK"/>
        </w:rPr>
        <w:t>。</w:t>
      </w:r>
    </w:p>
    <w:p>
      <w:pPr>
        <w:spacing w:line="560" w:lineRule="exact"/>
        <w:ind w:left="480"/>
        <w:rPr>
          <w:rFonts w:hint="eastAsia"/>
        </w:rPr>
      </w:pPr>
      <w:bookmarkStart w:id="8" w:name="_Toc26085"/>
      <w:bookmarkStart w:id="9" w:name="_Toc5753"/>
      <w:bookmarkStart w:id="10" w:name="_Toc8588"/>
      <w:r>
        <w:t>1﹒区域特征</w:t>
      </w:r>
      <w:bookmarkEnd w:id="8"/>
      <w:bookmarkEnd w:id="9"/>
      <w:bookmarkEnd w:id="10"/>
      <w:r>
        <w:rPr>
          <w:rFonts w:hint="eastAsia"/>
        </w:rPr>
        <w:t>。</w:t>
      </w:r>
    </w:p>
    <w:p>
      <w:pPr>
        <w:spacing w:line="560" w:lineRule="exact"/>
        <w:ind w:firstLine="632" w:firstLineChars="200"/>
        <w:rPr>
          <w:rFonts w:hint="eastAsia"/>
        </w:rPr>
      </w:pPr>
      <w:r>
        <w:t>长白朝鲜族自治县位于吉林省白山市东南部、长白山主峰南麓、鸭绿江上游左岸。</w:t>
      </w:r>
      <w:r>
        <w:rPr>
          <w:rFonts w:hint="eastAsia"/>
        </w:rPr>
        <w:t>辖7镇、1乡，77个行政村，1个省级边境经济合作区。</w:t>
      </w:r>
    </w:p>
    <w:p>
      <w:pPr>
        <w:spacing w:line="560" w:lineRule="exact"/>
        <w:ind w:firstLine="632" w:firstLineChars="200"/>
      </w:pPr>
      <w:r>
        <w:rPr>
          <w:rFonts w:hint="eastAsia"/>
        </w:rPr>
        <w:t>长白朝鲜族自治县属鸭绿江水系，发源于长白山天池南坡，境内超过10km的河流有八道沟河、七道沟河、十三道沟河、十五道沟河、十九道沟河等27条河流</w:t>
      </w:r>
      <w:r>
        <w:rPr>
          <w:rFonts w:hint="eastAsia"/>
          <w:color w:val="000000"/>
        </w:rPr>
        <w:t>，构成全县扇形水系。</w:t>
      </w:r>
      <w:r>
        <w:rPr>
          <w:rFonts w:hint="eastAsia"/>
        </w:rPr>
        <w:t>区域内有吉林鸭绿江上游国家级自然保护区、吉林长白鸭绿江源湿地省级自然保护区</w:t>
      </w:r>
      <w:r>
        <w:rPr>
          <w:rFonts w:hint="eastAsia"/>
          <w:color w:val="000000"/>
        </w:rPr>
        <w:t>和吉林长白泥粒河国家湿地公园，森</w:t>
      </w:r>
      <w:r>
        <w:rPr>
          <w:rFonts w:hint="eastAsia"/>
        </w:rPr>
        <w:t>林覆盖率较高，素有“立体资源宝库”“长白林海”之称，境内共有野生经济植物和药材资源1200多种，野山参、北五味子、党参和灵芝等野生中药材储量达1600余吨。特别是发现了稀有的国家一类保护植物“对开蕨”，填补了我国对开蕨的空白。长白朝鲜族自治县为国家重点生态功能区，2022年的生态环境质量指数（EQI）为84.68，质量指数等级均为“优”，</w:t>
      </w:r>
      <w:r>
        <w:t>植被覆盖度高，生物多样性丰富，生态系统质量保持稳定。</w:t>
      </w:r>
    </w:p>
    <w:p>
      <w:pPr>
        <w:spacing w:line="560" w:lineRule="exact"/>
        <w:ind w:firstLine="632" w:firstLineChars="200"/>
        <w:rPr>
          <w:rFonts w:hint="eastAsia"/>
        </w:rPr>
      </w:pPr>
      <w:r>
        <w:rPr>
          <w:rFonts w:hint="eastAsia"/>
        </w:rPr>
        <w:t>长白朝鲜族自治县地处长白山高寒山区，素有“九山半水半分田”之称。形成了林业、人参、矿产和生态旅游的特色。</w:t>
      </w:r>
    </w:p>
    <w:p>
      <w:pPr>
        <w:spacing w:line="560" w:lineRule="exact"/>
        <w:ind w:firstLine="632" w:firstLineChars="200"/>
        <w:rPr>
          <w:rFonts w:hint="eastAsia"/>
        </w:rPr>
      </w:pPr>
      <w:r>
        <w:rPr>
          <w:rFonts w:hint="eastAsia" w:ascii="方正仿宋_GBK"/>
          <w:b/>
        </w:rPr>
        <w:t>林业特色</w:t>
      </w:r>
      <w:r>
        <w:rPr>
          <w:rFonts w:hint="eastAsia" w:ascii="方正楷体_GBK" w:eastAsia="方正楷体_GBK"/>
          <w:b/>
        </w:rPr>
        <w:t>。</w:t>
      </w:r>
      <w:r>
        <w:rPr>
          <w:rFonts w:hint="eastAsia"/>
        </w:rPr>
        <w:t>长白朝鲜族自治县制订实施了“长白山区长白县生物多样性保护恢复工程”，累计完成旨在“林茂参丰”的“林参间作”7000余hm</w:t>
      </w:r>
      <w:r>
        <w:rPr>
          <w:rFonts w:hint="eastAsia"/>
          <w:vertAlign w:val="superscript"/>
        </w:rPr>
        <w:t>2</w:t>
      </w:r>
      <w:r>
        <w:rPr>
          <w:rFonts w:hint="eastAsia"/>
        </w:rPr>
        <w:t>，承包开发“五荒”600余hm</w:t>
      </w:r>
      <w:r>
        <w:rPr>
          <w:rFonts w:hint="eastAsia"/>
          <w:vertAlign w:val="superscript"/>
        </w:rPr>
        <w:t>2</w:t>
      </w:r>
      <w:r>
        <w:rPr>
          <w:rFonts w:hint="eastAsia"/>
        </w:rPr>
        <w:t>，实行山林承包经营管护10万余hm</w:t>
      </w:r>
      <w:r>
        <w:rPr>
          <w:rFonts w:hint="eastAsia"/>
          <w:vertAlign w:val="superscript"/>
        </w:rPr>
        <w:t>2</w:t>
      </w:r>
      <w:r>
        <w:rPr>
          <w:rFonts w:hint="eastAsia"/>
        </w:rPr>
        <w:t>。经多年建设，全县共有14家林产工业企业10个系列60多个品种的产品，木材转换率达到30%，木材利用率达到40%，林业生产综合经济效益明显提高。</w:t>
      </w:r>
    </w:p>
    <w:p>
      <w:pPr>
        <w:spacing w:line="560" w:lineRule="exact"/>
        <w:ind w:firstLine="632" w:firstLineChars="200"/>
        <w:rPr>
          <w:rFonts w:hint="eastAsia"/>
        </w:rPr>
      </w:pPr>
      <w:r>
        <w:rPr>
          <w:rFonts w:hint="eastAsia"/>
          <w:b/>
        </w:rPr>
        <w:t>人参特色。</w:t>
      </w:r>
      <w:r>
        <w:rPr>
          <w:rFonts w:hint="eastAsia"/>
        </w:rPr>
        <w:t>依附于林业和特殊地理气候条件的人参生产是长白朝鲜族自治县农村经济发展的重要支柱产业之一。人参留存面积4423亩，人参总产616.6吨，人参单产2.2kg/m</w:t>
      </w:r>
      <w:r>
        <w:rPr>
          <w:rFonts w:hint="eastAsia"/>
          <w:vertAlign w:val="superscript"/>
        </w:rPr>
        <w:t>2</w:t>
      </w:r>
      <w:r>
        <w:rPr>
          <w:rFonts w:hint="eastAsia"/>
        </w:rPr>
        <w:t>左右。人参产业为长白朝鲜族自治县经济发展起到了重要的作用。</w:t>
      </w:r>
    </w:p>
    <w:p>
      <w:pPr>
        <w:spacing w:line="560" w:lineRule="exact"/>
        <w:ind w:firstLine="632" w:firstLineChars="200"/>
        <w:rPr>
          <w:rFonts w:hint="eastAsia"/>
        </w:rPr>
      </w:pPr>
      <w:r>
        <w:rPr>
          <w:rFonts w:hint="eastAsia"/>
          <w:b/>
        </w:rPr>
        <w:t>矿产特色。</w:t>
      </w:r>
      <w:r>
        <w:rPr>
          <w:rFonts w:hint="eastAsia"/>
        </w:rPr>
        <w:t>以硅藻土为代表的矿产开采业推动了长白朝鲜族自治县经济的发展。长白朝鲜族自治县硅藻土资源储量和品位居亚洲之首，现已发现各类矿产30多种，其中能源类矿产有煤、地热2种；金属类矿产有铁、钨、钼、铜、铅、锌、金等8种；非金属类矿产有硅藻土、高岭石、石灰岩等20多种；水气类矿产有矿泉水和地下水。</w:t>
      </w:r>
    </w:p>
    <w:p>
      <w:pPr>
        <w:spacing w:line="560" w:lineRule="exact"/>
        <w:ind w:firstLine="632" w:firstLineChars="200"/>
        <w:rPr>
          <w:rFonts w:hint="eastAsia"/>
        </w:rPr>
      </w:pPr>
      <w:r>
        <w:rPr>
          <w:rFonts w:hint="eastAsia"/>
          <w:b/>
        </w:rPr>
        <w:t>旅游特色。</w:t>
      </w:r>
      <w:r>
        <w:rPr>
          <w:rFonts w:hint="eastAsia"/>
        </w:rPr>
        <w:t>长白朝鲜族自治县具有秀美独特的自然风光、古老苍劲的历史遗迹和别致的异国情调，有唐渤海时期的灵光塔、望天鹅、长白山天池及垂直植物分布带、鸭绿江大峡谷、鸡冠峰、十五道沟森林公园等景点。</w:t>
      </w:r>
    </w:p>
    <w:p>
      <w:pPr>
        <w:spacing w:line="560" w:lineRule="exact"/>
        <w:ind w:firstLine="632" w:firstLineChars="200"/>
        <w:rPr>
          <w:rFonts w:hint="eastAsia"/>
        </w:rPr>
      </w:pPr>
      <w:bookmarkStart w:id="11" w:name="_Toc1007"/>
      <w:r>
        <w:t>2﹒工作基础</w:t>
      </w:r>
      <w:bookmarkEnd w:id="11"/>
      <w:r>
        <w:rPr>
          <w:rFonts w:hint="eastAsia"/>
        </w:rPr>
        <w:t>。</w:t>
      </w:r>
    </w:p>
    <w:p>
      <w:pPr>
        <w:spacing w:line="560" w:lineRule="exact"/>
        <w:ind w:firstLine="632" w:firstLineChars="200"/>
      </w:pPr>
      <w:r>
        <w:rPr>
          <w:rFonts w:hint="eastAsia"/>
          <w:b/>
        </w:rPr>
        <w:t>始终</w:t>
      </w:r>
      <w:r>
        <w:rPr>
          <w:b/>
        </w:rPr>
        <w:t>坚持生态文明建设</w:t>
      </w:r>
      <w:r>
        <w:rPr>
          <w:rFonts w:hint="eastAsia"/>
          <w:b/>
        </w:rPr>
        <w:t>。</w:t>
      </w:r>
      <w:r>
        <w:rPr>
          <w:rFonts w:hint="eastAsia"/>
        </w:rPr>
        <w:t>长白朝鲜族自治县委、县政府坚持以习近平新时代中国特色社会主义思想为指导，深入学习贯彻习近平生态文明思想和党的二十大精神，以习近平总书记在新时代推动东北全面振兴座谈会上的重要讲话为统领，按照省委“一主六双”高质量发展战略和全市建设践行“两山”理念试验区决策部署，落实“一山两江”品牌战略，“一体两翼”发展格局，以建设生态强县为抓手，认真践行“两山”理念，持续加强生态环境保护，大力推动绿色、循环、低碳发展，扎实推进生态文明建设，初步形成了经济发展与生态环保互进共赢的良好局面，探索走出一条“城镇靓、环境优、人文美、百姓富”的绿色发展之路。</w:t>
      </w:r>
    </w:p>
    <w:p>
      <w:pPr>
        <w:spacing w:line="560" w:lineRule="exact"/>
        <w:ind w:firstLine="632" w:firstLineChars="200"/>
      </w:pPr>
      <w:r>
        <w:rPr>
          <w:b/>
        </w:rPr>
        <w:t>生态文明体制</w:t>
      </w:r>
      <w:r>
        <w:rPr>
          <w:rFonts w:hint="eastAsia"/>
          <w:b/>
        </w:rPr>
        <w:t>不断</w:t>
      </w:r>
      <w:r>
        <w:rPr>
          <w:b/>
        </w:rPr>
        <w:t>完善</w:t>
      </w:r>
      <w:r>
        <w:rPr>
          <w:rFonts w:hint="eastAsia"/>
          <w:b/>
        </w:rPr>
        <w:t>。</w:t>
      </w:r>
      <w:r>
        <w:t>成</w:t>
      </w:r>
      <w:r>
        <w:rPr>
          <w:rFonts w:hint="eastAsia" w:ascii="方正仿宋_GBK"/>
        </w:rPr>
        <w:t>立</w:t>
      </w:r>
      <w:r>
        <w:rPr>
          <w:rFonts w:hint="eastAsia" w:ascii="方正仿宋_GBK"/>
          <w:color w:val="0000FF"/>
        </w:rPr>
        <w:t>“生态安全工作暨生态环境保护领导小组”，</w:t>
      </w:r>
      <w:r>
        <w:rPr>
          <w:rFonts w:hint="eastAsia" w:ascii="方正仿宋_GBK"/>
        </w:rPr>
        <w:t>生态文明建设取</w:t>
      </w:r>
      <w:r>
        <w:t>得重大成果。修编</w:t>
      </w:r>
      <w:r>
        <w:rPr>
          <w:color w:val="0000FF"/>
        </w:rPr>
        <w:t>《吉林省白山市长白朝鲜族自治县国家生态文明</w:t>
      </w:r>
      <w:r>
        <w:rPr>
          <w:rFonts w:hint="eastAsia"/>
          <w:color w:val="0000FF"/>
        </w:rPr>
        <w:t>建设示范县</w:t>
      </w:r>
      <w:r>
        <w:rPr>
          <w:color w:val="0000FF"/>
        </w:rPr>
        <w:t>建设规划</w:t>
      </w:r>
      <w:r>
        <w:rPr>
          <w:rFonts w:hint="eastAsia"/>
          <w:color w:val="0000FF"/>
        </w:rPr>
        <w:t>（</w:t>
      </w:r>
      <w:r>
        <w:rPr>
          <w:color w:val="0000FF"/>
        </w:rPr>
        <w:t>2019</w:t>
      </w:r>
      <w:r>
        <w:rPr>
          <w:rFonts w:hint="eastAsia"/>
          <w:color w:val="0000FF"/>
        </w:rPr>
        <w:t>—</w:t>
      </w:r>
      <w:r>
        <w:rPr>
          <w:color w:val="0000FF"/>
        </w:rPr>
        <w:t>2023年）》</w:t>
      </w:r>
      <w:r>
        <w:t>，以规划中的生态建设方面的重点工作和重点工程为抓手，贯彻落实生态建设的各项工作。建立并全面实施河长制，建立突发生态环境事件应急管理机制，印发年度绩效管理考评暂行办法，涵盖乡村振兴、环保督察、河长制工作、农村饮水安全、旅游工作、森林资源管护等指标，将生态文明建设放在突出位置。从制度建设、生态环境风险防范等角度，提高生态文明建设水平。</w:t>
      </w:r>
    </w:p>
    <w:p>
      <w:pPr>
        <w:spacing w:line="560" w:lineRule="exact"/>
        <w:ind w:firstLine="632" w:firstLineChars="200"/>
      </w:pPr>
      <w:r>
        <w:rPr>
          <w:b/>
        </w:rPr>
        <w:t>生态</w:t>
      </w:r>
      <w:r>
        <w:rPr>
          <w:rFonts w:hint="eastAsia"/>
          <w:b/>
        </w:rPr>
        <w:t>绿色</w:t>
      </w:r>
      <w:r>
        <w:rPr>
          <w:b/>
        </w:rPr>
        <w:t>经济持续发展</w:t>
      </w:r>
      <w:r>
        <w:rPr>
          <w:rFonts w:hint="eastAsia"/>
          <w:b/>
        </w:rPr>
        <w:t>。</w:t>
      </w:r>
      <w:r>
        <w:t>全域旅游扩容增效</w:t>
      </w:r>
      <w:r>
        <w:rPr>
          <w:rFonts w:hint="eastAsia"/>
        </w:rPr>
        <w:t>，</w:t>
      </w:r>
      <w:r>
        <w:t>九道沟村被评为省级乡村旅游重点村。边贸基础不断夯实</w:t>
      </w:r>
      <w:r>
        <w:rPr>
          <w:rFonts w:hint="eastAsia"/>
        </w:rPr>
        <w:t>，</w:t>
      </w:r>
      <w:r>
        <w:t>对朝经济合作创业产业园、冷链物流仓储中心加快推进。硅藻土产业规范发展</w:t>
      </w:r>
      <w:r>
        <w:rPr>
          <w:rFonts w:hint="eastAsia"/>
        </w:rPr>
        <w:t>，</w:t>
      </w:r>
      <w:r>
        <w:t>天宝硅藻土升为规上企业。绿色食品提质增量</w:t>
      </w:r>
      <w:r>
        <w:rPr>
          <w:rFonts w:hint="eastAsia"/>
        </w:rPr>
        <w:t>，</w:t>
      </w:r>
      <w:r>
        <w:t>新建绿色有机种植基地，发展示范村，获批省级现代农业产业园创建单位。清洁能源前景可期</w:t>
      </w:r>
      <w:r>
        <w:rPr>
          <w:rFonts w:hint="eastAsia"/>
        </w:rPr>
        <w:t>，积极推进</w:t>
      </w:r>
      <w:r>
        <w:t>鸡冠峰抽水蓄能电站项目</w:t>
      </w:r>
      <w:r>
        <w:rPr>
          <w:rFonts w:hint="eastAsia"/>
        </w:rPr>
        <w:t>纳入国家长期规划布局之中</w:t>
      </w:r>
      <w:r>
        <w:t>。大力发展绿色建筑及低碳交通，投入运营新能源公交车，新增双层旅游巴士。</w:t>
      </w:r>
      <w:r>
        <w:rPr>
          <w:rFonts w:hint="eastAsia" w:ascii="方正仿宋_GBK"/>
        </w:rPr>
        <w:t>加强与省水文地质调查所合作，推动林业碳汇项目开发，成为全省首批“林草碳汇试点县”。现</w:t>
      </w:r>
      <w:r>
        <w:t>代服务业不断跃升</w:t>
      </w:r>
      <w:r>
        <w:rPr>
          <w:rFonts w:hint="eastAsia"/>
        </w:rPr>
        <w:t>，</w:t>
      </w:r>
      <w:r>
        <w:t>改造三级电商公共服务中心。持续开展助企服务。完成电商数据平台建设，农产品网络零售额达2.2亿元。</w:t>
      </w:r>
    </w:p>
    <w:p>
      <w:pPr>
        <w:spacing w:line="560" w:lineRule="exact"/>
        <w:ind w:firstLine="632" w:firstLineChars="200"/>
        <w:rPr>
          <w:rFonts w:hint="eastAsia" w:ascii="方正仿宋_GBK"/>
        </w:rPr>
      </w:pPr>
      <w:r>
        <w:rPr>
          <w:b/>
        </w:rPr>
        <w:t>生态环境持续提升</w:t>
      </w:r>
      <w:r>
        <w:rPr>
          <w:rFonts w:hint="eastAsia"/>
          <w:b/>
        </w:rPr>
        <w:t>向好。</w:t>
      </w:r>
      <w:r>
        <w:t>全县大气环境、水环境、土壤环境质量保持稳定且持续改善。县域生态系统功能逐步增强，县域内国家重点保护的东方白鹳、中华秋沙鸭、金雕等多种野生动植物均得到重点保护，未出现外来物种入侵情况，特有性或指示性水生物花羔红点鲑、细鳞鱼等得到有效保护</w:t>
      </w:r>
      <w:r>
        <w:rPr>
          <w:rFonts w:hint="eastAsia" w:ascii="方正仿宋_GBK"/>
        </w:rPr>
        <w:t>；全县医疗废弃物、工业危险废弃物全部安全处置。全面落实“河（湖）长制”，完成二十三道沟小流域生</w:t>
      </w:r>
      <w:r>
        <w:t>态保护修复工程，确保全县36条河流水环境长治久清。</w:t>
      </w:r>
      <w:r>
        <w:rPr>
          <w:rFonts w:hint="eastAsia" w:ascii="方正仿宋_GBK"/>
        </w:rPr>
        <w:t>扎实开展“绿盾行动”，大力开展林地清收，严守生态保护、永久基本农田、城镇开发边界“三条红线”。全力推进中央环保督察、“回头看”和省级环保督察反馈问题整改，持续打好污染防治攻坚战，污染防治阶段性目标顺利实现，城区污水处理达到国家一级</w:t>
      </w:r>
      <w:r>
        <w:t>A</w:t>
      </w:r>
      <w:r>
        <w:rPr>
          <w:rFonts w:hint="eastAsia" w:ascii="方正仿宋_GBK"/>
        </w:rPr>
        <w:t>标准，连续三年蝉联“全国深呼吸小城”榜首，被评为全省首个“中国天然氧吧”。</w:t>
      </w:r>
    </w:p>
    <w:p>
      <w:pPr>
        <w:spacing w:line="560" w:lineRule="exact"/>
        <w:ind w:firstLine="632" w:firstLineChars="200"/>
      </w:pPr>
      <w:r>
        <w:rPr>
          <w:rFonts w:hint="eastAsia" w:ascii="方正仿宋_GBK"/>
          <w:b/>
        </w:rPr>
        <w:t>人居环境全面持续改善。</w:t>
      </w:r>
      <w:r>
        <w:rPr>
          <w:rFonts w:hint="eastAsia" w:ascii="方正仿宋_GBK"/>
        </w:rPr>
        <w:t>城乡面貌得到历史性改观，实施城市风貌和街路改造、鸭绿江风光带和体育场建设等城市建设“十大民生工程”，县城获批“</w:t>
      </w:r>
      <w:r>
        <w:t>3A</w:t>
      </w:r>
      <w:r>
        <w:rPr>
          <w:rFonts w:hint="eastAsia" w:ascii="方正仿宋_GBK"/>
        </w:rPr>
        <w:t>”级</w:t>
      </w:r>
      <w:r>
        <w:t>景区，城市形象和空间品质显著提升。被评为2020年</w:t>
      </w:r>
      <w:r>
        <w:rPr>
          <w:rFonts w:hint="eastAsia" w:ascii="方正仿宋_GBK"/>
        </w:rPr>
        <w:t>“吉林省休闲农业与乡村旅游示范县”，入选“中国最美县域”榜单。人民生活水平不断提高。城乡居民收入稳步提升，就业形势稳中向好。公共服务水平进一步提升，教育教学条件持续改善，义务教育基本均衡发展，通过国家评估验收。居民健康和医疗卫生水平明显提高，城乡居民基本医疗保险制度不断巩固发展。覆盖城乡居民的社会保障体系基本建成。文体惠民工程深入实施，长白体育场建成投入使用，实现全县多个行政村文化小广场、三级公共体育设施网络全覆盖。棚户区改造、安全饮水、厕所革命等民生工程扎实</w:t>
      </w:r>
      <w:r>
        <w:t>推进，人民群众获得感、幸福感、安全感显著增强。基础设施建设扎实推进。长松岭隧道</w:t>
      </w:r>
      <w:r>
        <w:rPr>
          <w:rFonts w:hint="eastAsia"/>
        </w:rPr>
        <w:t>、</w:t>
      </w:r>
      <w:r>
        <w:t>冷沟子隧道建成通车，新建客运站项目</w:t>
      </w:r>
      <w:r>
        <w:rPr>
          <w:rFonts w:hint="eastAsia"/>
        </w:rPr>
        <w:t>完成投入使用</w:t>
      </w:r>
      <w:r>
        <w:t>，行政村道路硬化率达到100%，高速公路项目</w:t>
      </w:r>
      <w:r>
        <w:rPr>
          <w:rFonts w:hint="eastAsia"/>
        </w:rPr>
        <w:t>开工建设</w:t>
      </w:r>
      <w:r>
        <w:t>。县城供水工程竣工通水，备用水源开工建设，农村安全饮水实现全覆盖。实施城乡电网升级改造，电压合格率和供电可靠率大幅提升。</w:t>
      </w:r>
    </w:p>
    <w:p>
      <w:pPr>
        <w:spacing w:line="560" w:lineRule="exact"/>
        <w:ind w:firstLine="632" w:firstLineChars="200"/>
      </w:pPr>
      <w:r>
        <w:rPr>
          <w:b/>
        </w:rPr>
        <w:t>生态文明</w:t>
      </w:r>
      <w:r>
        <w:rPr>
          <w:rFonts w:hint="eastAsia"/>
          <w:b/>
        </w:rPr>
        <w:t>宣教深入人心。</w:t>
      </w:r>
      <w:r>
        <w:t>坚持常态化宣传</w:t>
      </w:r>
      <w:r>
        <w:rPr>
          <w:rFonts w:hint="eastAsia"/>
        </w:rPr>
        <w:t>教育</w:t>
      </w:r>
      <w:r>
        <w:t>。深入推进生态文明宣传教育进机关、进学校、进企业、进社区、进农村，扩大生态文明宣传展示基地，实施丰富多彩的培训，开展主题鲜明、形式多样、生动活泼的宣传教育活动。利用污染源普查、环境执法、秸秆禁烧等工作时机，进企业、入社区大力开展生态文明建设的宣传教育活动，广泛提升社会公众对生态文明建设的认知水平，培育了生态文明建设全民参与、共建共享的良好风尚。强化意识拓宽宣传渠道。结合六五环境日、吉林生态日等生态环境节日，针对不同群体参与生态环境保护的需求开展多种形式的宣传活动。加强环境文化建设，推进生态文明向经济、社会、文化等领域的延伸，形成资源节约、环境友好的社会风尚。大力宣传生态环境保护工作业绩突出的典型企业、典型经验作法、先进个人，鼓励新闻媒体对各类破坏生态环境问题、突发环境事件、环境违法行为进行曝光，形成强有力的舆论震慑。定期组织</w:t>
      </w:r>
      <w:r>
        <w:rPr>
          <w:rFonts w:hint="eastAsia"/>
        </w:rPr>
        <w:t>县</w:t>
      </w:r>
      <w:r>
        <w:t>委理论中心组</w:t>
      </w:r>
      <w:r>
        <w:rPr>
          <w:rFonts w:hint="eastAsia"/>
        </w:rPr>
        <w:t>和</w:t>
      </w:r>
      <w:r>
        <w:t>青年干部培训班学习、生态环境知识竞赛等活动，开展《中华人民共和国湿地保护法》《中华人民共和国噪声污染防治法》等法律法规的宣传工作，加强对党政领导干部、企事业单位管理人员和广大市民的生态环境保护宣传，形成政府主导推进、企业自觉守法、公众广泛参与的环境保护格局。组织开展</w:t>
      </w:r>
      <w:r>
        <w:rPr>
          <w:rFonts w:hint="eastAsia"/>
        </w:rPr>
        <w:t>形式多样</w:t>
      </w:r>
      <w:r>
        <w:t>、面向各类群体的生态环境保护公众参与</w:t>
      </w:r>
      <w:r>
        <w:rPr>
          <w:rFonts w:hint="eastAsia"/>
        </w:rPr>
        <w:t>活动</w:t>
      </w:r>
      <w:r>
        <w:t>，带动、团结公众自觉、自愿、自主地参与环境保护。以重要环境保护纪念日为契机，协调社会力量开展生态环境保护公益活动，建立整合调动社会力量共同策划开展生态环境保护公益活动的机制，鼓励引导公众深入参与环境保护。增强环境宣传与信息服务的实用性，增进与公众的互动，提高公众参与环境保护的能力水平。</w:t>
      </w:r>
    </w:p>
    <w:p>
      <w:pPr>
        <w:spacing w:line="560" w:lineRule="exact"/>
        <w:ind w:firstLine="632" w:firstLineChars="200"/>
        <w:rPr>
          <w:rFonts w:hint="eastAsia" w:ascii="方正楷体_GBK" w:eastAsia="方正楷体_GBK"/>
        </w:rPr>
      </w:pPr>
      <w:bookmarkStart w:id="12" w:name="_Toc8330"/>
      <w:bookmarkStart w:id="13" w:name="_Toc3140"/>
      <w:bookmarkStart w:id="14" w:name="_Toc30044"/>
      <w:bookmarkStart w:id="15" w:name="_Toc29805"/>
      <w:r>
        <w:rPr>
          <w:rFonts w:hint="eastAsia" w:ascii="方正楷体_GBK" w:eastAsia="方正楷体_GBK"/>
        </w:rPr>
        <w:t>（二）存在问题与机遇挑战</w:t>
      </w:r>
      <w:bookmarkEnd w:id="12"/>
      <w:bookmarkEnd w:id="13"/>
      <w:r>
        <w:rPr>
          <w:rFonts w:hint="eastAsia" w:ascii="方正楷体_GBK" w:eastAsia="方正楷体_GBK"/>
        </w:rPr>
        <w:t>。</w:t>
      </w:r>
    </w:p>
    <w:bookmarkEnd w:id="14"/>
    <w:bookmarkEnd w:id="15"/>
    <w:p>
      <w:pPr>
        <w:spacing w:line="560" w:lineRule="exact"/>
        <w:ind w:firstLine="632" w:firstLineChars="200"/>
        <w:rPr>
          <w:rFonts w:hint="eastAsia"/>
        </w:rPr>
      </w:pPr>
      <w:bookmarkStart w:id="16" w:name="_Toc1017"/>
      <w:r>
        <w:t>1﹒存在问题</w:t>
      </w:r>
      <w:bookmarkEnd w:id="16"/>
      <w:r>
        <w:rPr>
          <w:rFonts w:hint="eastAsia"/>
        </w:rPr>
        <w:t>。</w:t>
      </w:r>
    </w:p>
    <w:p>
      <w:pPr>
        <w:spacing w:line="560" w:lineRule="exact"/>
        <w:ind w:firstLine="632" w:firstLineChars="200"/>
      </w:pPr>
      <w:bookmarkStart w:id="17" w:name="_Toc1480"/>
      <w:r>
        <w:rPr>
          <w:rFonts w:hint="eastAsia"/>
          <w:b/>
        </w:rPr>
        <w:t>生态安全建设</w:t>
      </w:r>
      <w:r>
        <w:rPr>
          <w:b/>
        </w:rPr>
        <w:t>有待</w:t>
      </w:r>
      <w:bookmarkEnd w:id="17"/>
      <w:r>
        <w:rPr>
          <w:rFonts w:hint="eastAsia"/>
          <w:b/>
        </w:rPr>
        <w:t>加强。</w:t>
      </w:r>
      <w:r>
        <w:rPr>
          <w:rFonts w:hint="eastAsia"/>
        </w:rPr>
        <w:t>碳达峰、碳中和任务落实不足。目前，能源消耗仍以煤炭为主，参照白山市目标计算，长白朝鲜族自治县2025年能源消耗总量需控制在42.91万吨标准煤以下方可达到目标要求，按照近三年长白朝鲜族自治县能源消耗总量变化趋势和单位GDP能耗变化率来看，达到目标需要在加大能源利用效率方面的工作力度，采取加快推进传统产业转型升级，推进重点用能单位节能降耗改造。环境基础设施建设略微不足。县城之外各乡镇政府所在地污水处理能力不足，排污管线覆盖率不足。部分水源地未设置围栏。</w:t>
      </w:r>
      <w:r>
        <w:t>自然灾害易发</w:t>
      </w:r>
      <w:r>
        <w:rPr>
          <w:rFonts w:hint="eastAsia"/>
        </w:rPr>
        <w:t>，生态环境容易遭到破坏</w:t>
      </w:r>
      <w:r>
        <w:t>。</w:t>
      </w:r>
    </w:p>
    <w:p>
      <w:pPr>
        <w:spacing w:line="560" w:lineRule="exact"/>
        <w:ind w:firstLine="632" w:firstLineChars="200"/>
      </w:pPr>
      <w:bookmarkStart w:id="18" w:name="_Toc11885"/>
      <w:r>
        <w:rPr>
          <w:b/>
        </w:rPr>
        <w:t>生态</w:t>
      </w:r>
      <w:r>
        <w:rPr>
          <w:rFonts w:hint="eastAsia"/>
          <w:b/>
        </w:rPr>
        <w:t>经济发展</w:t>
      </w:r>
      <w:r>
        <w:rPr>
          <w:b/>
        </w:rPr>
        <w:t>任重道远</w:t>
      </w:r>
      <w:bookmarkEnd w:id="18"/>
      <w:r>
        <w:rPr>
          <w:rFonts w:hint="eastAsia"/>
          <w:b/>
        </w:rPr>
        <w:t>。</w:t>
      </w:r>
      <w:r>
        <w:rPr>
          <w:rFonts w:hint="eastAsia"/>
        </w:rPr>
        <w:t>长白朝鲜族自治县产业层次不高，项目支撑不足，生态优势转换成生态经济优势亟须破题。城乡建设及道路交通等基础设施不够完善，限制了生态经济发展，</w:t>
      </w:r>
      <w:r>
        <w:t>难以支撑城市发展</w:t>
      </w:r>
      <w:r>
        <w:rPr>
          <w:rFonts w:hint="eastAsia"/>
        </w:rPr>
        <w:t>。</w:t>
      </w:r>
      <w:r>
        <w:t>专业领域人才匮乏</w:t>
      </w:r>
      <w:r>
        <w:rPr>
          <w:rFonts w:hint="eastAsia"/>
        </w:rPr>
        <w:t>，企业经济效益发展与节能减排、污染防治产生冲突。能源结构调整有待加强，清洁能源利用率不高。</w:t>
      </w:r>
    </w:p>
    <w:p>
      <w:pPr>
        <w:spacing w:line="560" w:lineRule="exact"/>
        <w:ind w:firstLine="632" w:firstLineChars="200"/>
      </w:pPr>
      <w:r>
        <w:rPr>
          <w:rFonts w:hint="eastAsia"/>
          <w:b/>
        </w:rPr>
        <w:t>生态文明共建共享仍需推进。</w:t>
      </w:r>
      <w:r>
        <w:rPr>
          <w:rFonts w:hint="eastAsia"/>
        </w:rPr>
        <w:t>景点景观资源分散，缺乏产业关联度大的综合性旅游项目。</w:t>
      </w:r>
      <w:r>
        <w:t>习近平总书记在吉林考察时提出</w:t>
      </w:r>
      <w:r>
        <w:rPr>
          <w:rFonts w:hint="eastAsia"/>
        </w:rPr>
        <w:t>“</w:t>
      </w:r>
      <w:r>
        <w:t>绿水青山就是金山银山、冰天雪地也是金山银山</w:t>
      </w:r>
      <w:r>
        <w:rPr>
          <w:rFonts w:hint="eastAsia"/>
        </w:rPr>
        <w:t>”，目前未充分利用长白朝鲜族自治县沿边区域优势、长白山南坡风光等优势，形成有效的区域特色文化。长白生态文化体系载体单一、缺少相关展示设施和方式。</w:t>
      </w:r>
    </w:p>
    <w:p>
      <w:pPr>
        <w:spacing w:line="560" w:lineRule="exact"/>
        <w:ind w:firstLine="632" w:firstLineChars="200"/>
        <w:rPr>
          <w:rFonts w:hint="eastAsia"/>
        </w:rPr>
      </w:pPr>
      <w:bookmarkStart w:id="19" w:name="_Toc19753"/>
      <w:bookmarkStart w:id="20" w:name="_Toc23490"/>
      <w:bookmarkStart w:id="21" w:name="_Toc21316"/>
      <w:r>
        <w:rPr>
          <w:rFonts w:hint="eastAsia"/>
        </w:rPr>
        <w:t>2</w:t>
      </w:r>
      <w:r>
        <w:t>﹒机遇与挑战</w:t>
      </w:r>
      <w:bookmarkEnd w:id="19"/>
      <w:bookmarkEnd w:id="20"/>
      <w:bookmarkEnd w:id="21"/>
      <w:r>
        <w:rPr>
          <w:rFonts w:hint="eastAsia"/>
        </w:rPr>
        <w:t>。</w:t>
      </w:r>
    </w:p>
    <w:p>
      <w:pPr>
        <w:spacing w:line="560" w:lineRule="exact"/>
        <w:ind w:firstLine="632" w:firstLineChars="200"/>
      </w:pPr>
      <w:bookmarkStart w:id="22" w:name="_Toc8776"/>
      <w:bookmarkStart w:id="23" w:name="_Toc13041"/>
      <w:r>
        <w:rPr>
          <w:b/>
        </w:rPr>
        <w:t>重大机遇</w:t>
      </w:r>
      <w:bookmarkEnd w:id="22"/>
      <w:bookmarkEnd w:id="23"/>
      <w:r>
        <w:rPr>
          <w:rFonts w:hint="eastAsia"/>
          <w:b/>
        </w:rPr>
        <w:t>。</w:t>
      </w:r>
      <w:r>
        <w:t>生态文明谋篇布局趋于成熟。以习近平同志为核心的党中央把生态文明建设作为关系中华民族永续发展的根本大计，谋划开展一系列根本性、长远性、开创性工作，作出一系列事关全局的重大战略部署。</w:t>
      </w:r>
      <w:r>
        <w:rPr>
          <w:rFonts w:hint="eastAsia"/>
        </w:rPr>
        <w:t>党的</w:t>
      </w:r>
      <w:r>
        <w:t>二十大明确了</w:t>
      </w:r>
      <w:r>
        <w:rPr>
          <w:rFonts w:hint="eastAsia" w:ascii="方正仿宋_GBK"/>
        </w:rPr>
        <w:t>“推动绿色发展，促进人与自然和谐共生”为我国新时代生态文明建设的战略任务，并从统筹产业结构调整、污染治理、生态保护、应对气候变化等多元角度，全面系统阐述了我国持续推动生态文明建设的战略思路与方法，并对未来生态环境保护提出一系列新观点、新要求、新方向和新部署。习近平总书记重要讲话精神引领。以习近平总书记在吉林考察时提出的“要贯彻绿水青山就是金山银山、冰天雪地也是金山银山的理念，充分利用东北地区的独特资源和优势，推进寒地冰雪经济加快发展”理念为契机，吉林冰雪经济快速发展为长白朝鲜族自治县实施旅游兴县战略、打造中国冰雪运动旅游目的地提供有利条件。东北老工</w:t>
      </w:r>
      <w:r>
        <w:t>业基地振兴。实施东北地区等老工业基地振兴战略，是党中央、国务院在新世纪作出的重大决策。东北老工业基地振兴战略为</w:t>
      </w:r>
      <w:r>
        <w:rPr>
          <w:rFonts w:hint="eastAsia"/>
        </w:rPr>
        <w:t>长白朝鲜族自治县</w:t>
      </w:r>
      <w:r>
        <w:t>生态文明建设提供了重要战略机遇。</w:t>
      </w:r>
    </w:p>
    <w:p>
      <w:pPr>
        <w:adjustRightInd w:val="0"/>
        <w:snapToGrid w:val="0"/>
        <w:spacing w:line="560" w:lineRule="exact"/>
        <w:ind w:firstLine="632" w:firstLineChars="200"/>
        <w:rPr>
          <w:rFonts w:hint="eastAsia"/>
          <w:color w:val="000000"/>
        </w:rPr>
      </w:pPr>
      <w:bookmarkStart w:id="24" w:name="_Toc11870"/>
      <w:bookmarkStart w:id="25" w:name="_Toc19603"/>
      <w:r>
        <w:rPr>
          <w:b/>
          <w:color w:val="000000"/>
        </w:rPr>
        <w:t>主要挑战</w:t>
      </w:r>
      <w:bookmarkEnd w:id="24"/>
      <w:bookmarkEnd w:id="25"/>
      <w:r>
        <w:rPr>
          <w:rFonts w:hint="eastAsia"/>
          <w:b/>
          <w:color w:val="000000"/>
        </w:rPr>
        <w:t>。</w:t>
      </w:r>
      <w:r>
        <w:rPr>
          <w:rFonts w:hint="eastAsia"/>
          <w:color w:val="000000"/>
        </w:rPr>
        <w:t>长白朝鲜族自治县</w:t>
      </w:r>
      <w:r>
        <w:rPr>
          <w:color w:val="000000"/>
        </w:rPr>
        <w:t>人口持续下降</w:t>
      </w:r>
      <w:r>
        <w:rPr>
          <w:rFonts w:hint="eastAsia"/>
          <w:color w:val="000000"/>
        </w:rPr>
        <w:t>，</w:t>
      </w:r>
      <w:r>
        <w:rPr>
          <w:color w:val="000000"/>
        </w:rPr>
        <w:t>同时老龄化程度逐步变大，将对未来城市经济发展造成</w:t>
      </w:r>
      <w:r>
        <w:rPr>
          <w:rFonts w:hint="eastAsia"/>
          <w:color w:val="000000"/>
        </w:rPr>
        <w:t>较</w:t>
      </w:r>
      <w:r>
        <w:rPr>
          <w:color w:val="000000"/>
        </w:rPr>
        <w:t>大压力。区域边缘，城镇竞争能力差。</w:t>
      </w:r>
      <w:r>
        <w:rPr>
          <w:rFonts w:hint="eastAsia"/>
          <w:color w:val="000000"/>
        </w:rPr>
        <w:t>长白朝鲜族自治县</w:t>
      </w:r>
      <w:r>
        <w:rPr>
          <w:color w:val="000000"/>
        </w:rPr>
        <w:t>作为东部山区城镇，县域对外通道数量少、等级低、运能差，距省内主要交通设施和目的地的交通时间较长，交通是制约城镇发展的瓶颈。</w:t>
      </w:r>
      <w:r>
        <w:rPr>
          <w:rFonts w:hint="eastAsia"/>
          <w:color w:val="000000"/>
        </w:rPr>
        <w:t>长白朝鲜族自治县</w:t>
      </w:r>
      <w:r>
        <w:rPr>
          <w:color w:val="000000"/>
        </w:rPr>
        <w:t>与周边</w:t>
      </w:r>
      <w:r>
        <w:rPr>
          <w:rFonts w:hint="eastAsia"/>
          <w:color w:val="000000"/>
        </w:rPr>
        <w:t>地区</w:t>
      </w:r>
      <w:r>
        <w:rPr>
          <w:color w:val="000000"/>
        </w:rPr>
        <w:t>的协同能力较弱，国内循环及区域协同较弱。</w:t>
      </w:r>
      <w:r>
        <w:rPr>
          <w:rFonts w:hint="eastAsia"/>
          <w:color w:val="000000"/>
        </w:rPr>
        <w:t>长白朝鲜族自治县</w:t>
      </w:r>
      <w:r>
        <w:rPr>
          <w:color w:val="000000"/>
        </w:rPr>
        <w:t>生态环境良好，生态保护红线占地面积比例较大，在开发要素配置上受到限制。</w:t>
      </w:r>
      <w:r>
        <w:rPr>
          <w:rFonts w:hint="eastAsia"/>
          <w:color w:val="000000"/>
        </w:rPr>
        <w:t>长白朝鲜族自治县</w:t>
      </w:r>
      <w:r>
        <w:rPr>
          <w:color w:val="000000"/>
        </w:rPr>
        <w:t>工业基础薄弱，农业规模小，基础设施不完善，外部交通通而不畅；产业发展层次偏低，经济长期以资源性产业为主，附加值低，开放型经济发展滞后，新兴产业发展较慢。因此，如何统筹协调生态环境保护与资源开发和产业发展之间的关系成为</w:t>
      </w:r>
      <w:r>
        <w:rPr>
          <w:rFonts w:hint="eastAsia"/>
          <w:color w:val="000000"/>
        </w:rPr>
        <w:t>长白朝鲜族自治县</w:t>
      </w:r>
      <w:r>
        <w:rPr>
          <w:color w:val="000000"/>
        </w:rPr>
        <w:t>面临的重大挑战。</w:t>
      </w:r>
      <w:r>
        <w:rPr>
          <w:rFonts w:hint="eastAsia"/>
          <w:color w:val="000000"/>
        </w:rPr>
        <w:t>长白朝鲜族自治县</w:t>
      </w:r>
      <w:r>
        <w:rPr>
          <w:color w:val="000000"/>
        </w:rPr>
        <w:t>能源消耗主要是煤炭，经济发展对煤炭的依赖度依然较强，如何有效推进能源结构调整，提高能源资源利用效率，控制碳排放强度，实现碳达峰</w:t>
      </w:r>
      <w:r>
        <w:rPr>
          <w:rFonts w:hint="eastAsia"/>
          <w:color w:val="000000"/>
        </w:rPr>
        <w:t>，</w:t>
      </w:r>
      <w:r>
        <w:rPr>
          <w:color w:val="000000"/>
        </w:rPr>
        <w:t>面临着较大压力</w:t>
      </w:r>
      <w:r>
        <w:rPr>
          <w:rFonts w:hint="eastAsia"/>
          <w:color w:val="000000"/>
        </w:rPr>
        <w:t>。</w:t>
      </w:r>
    </w:p>
    <w:p>
      <w:pPr>
        <w:adjustRightInd w:val="0"/>
        <w:snapToGrid w:val="0"/>
        <w:spacing w:line="560" w:lineRule="exact"/>
        <w:rPr>
          <w:rFonts w:hint="eastAsia"/>
        </w:rPr>
      </w:pPr>
    </w:p>
    <w:p>
      <w:pPr>
        <w:spacing w:line="560" w:lineRule="exact"/>
        <w:jc w:val="center"/>
        <w:rPr>
          <w:rFonts w:hint="eastAsia" w:ascii="方正黑体_GBK" w:eastAsia="方正黑体_GBK"/>
        </w:rPr>
      </w:pPr>
      <w:bookmarkStart w:id="26" w:name="_Toc28526"/>
      <w:bookmarkStart w:id="27" w:name="_Toc31071"/>
      <w:r>
        <w:rPr>
          <w:rFonts w:hint="eastAsia" w:ascii="方正黑体_GBK" w:eastAsia="方正黑体_GBK"/>
        </w:rPr>
        <w:t>第二章  规划总则</w:t>
      </w:r>
      <w:bookmarkEnd w:id="26"/>
      <w:bookmarkEnd w:id="27"/>
    </w:p>
    <w:p>
      <w:pPr>
        <w:spacing w:line="560" w:lineRule="exact"/>
        <w:jc w:val="center"/>
        <w:rPr>
          <w:rFonts w:hint="eastAsia" w:ascii="方正黑体_GBK" w:eastAsia="方正黑体_GBK"/>
        </w:rPr>
      </w:pPr>
    </w:p>
    <w:p>
      <w:pPr>
        <w:spacing w:line="560" w:lineRule="exact"/>
        <w:ind w:firstLine="632" w:firstLineChars="200"/>
        <w:rPr>
          <w:rFonts w:hint="eastAsia" w:ascii="方正楷体_GBK" w:eastAsia="方正楷体_GBK"/>
        </w:rPr>
      </w:pPr>
      <w:bookmarkStart w:id="28" w:name="_Toc8704"/>
      <w:bookmarkStart w:id="29" w:name="_Toc23098"/>
      <w:bookmarkStart w:id="30" w:name="_Toc15043"/>
      <w:bookmarkStart w:id="31" w:name="_Toc21341"/>
      <w:r>
        <w:rPr>
          <w:rFonts w:hint="eastAsia" w:ascii="方正楷体_GBK" w:eastAsia="方正楷体_GBK"/>
        </w:rPr>
        <w:t>（一）指导思想</w:t>
      </w:r>
      <w:bookmarkEnd w:id="28"/>
      <w:bookmarkEnd w:id="29"/>
      <w:bookmarkEnd w:id="30"/>
      <w:bookmarkEnd w:id="31"/>
      <w:r>
        <w:rPr>
          <w:rFonts w:hint="eastAsia" w:ascii="方正楷体_GBK" w:eastAsia="方正楷体_GBK"/>
        </w:rPr>
        <w:t>。</w:t>
      </w:r>
    </w:p>
    <w:p>
      <w:pPr>
        <w:spacing w:line="560" w:lineRule="exact"/>
        <w:ind w:firstLine="632" w:firstLineChars="200"/>
      </w:pPr>
      <w:r>
        <w:rPr>
          <w:rFonts w:hint="eastAsia" w:ascii="方正仿宋_GBK"/>
        </w:rPr>
        <w:t>坚持以习近平新时代中国特色社会主义思想为指导，深入贯彻党的二十大精神，以习近平总书记在新时代推动东北全面振兴座谈会上的重要讲话精神为统领，统筹推进“五位一体”总体布局。坚持绿色低碳循环发展，以打造吉林省东部绿色转型发展先行区、国家绿色转型发展示范区为契机，以生态制度、生态安全、生态空间、生态经济、生态生活、生态文化等六大体系建设为手段，在目标责任、生态安全、生态经济、生态文化、生态文明制度等五大领域实现达标，结合长白朝鲜族自治县实际情况，全面提升发展质量，保障和改善民生，确保人民生活水平不断提高，实现人与自然和谐共生，助力长白朝鲜族自治县打造成为全国生态文明高地，全面建成富裕</w:t>
      </w:r>
      <w:r>
        <w:t>文明和谐美丽的新长白。</w:t>
      </w:r>
    </w:p>
    <w:p>
      <w:pPr>
        <w:spacing w:line="560" w:lineRule="exact"/>
        <w:ind w:firstLine="632" w:firstLineChars="200"/>
        <w:rPr>
          <w:rFonts w:hint="eastAsia" w:ascii="方正楷体_GBK" w:eastAsia="方正楷体_GBK"/>
        </w:rPr>
      </w:pPr>
      <w:bookmarkStart w:id="32" w:name="_Toc15382"/>
      <w:bookmarkStart w:id="33" w:name="_Toc4775"/>
      <w:bookmarkStart w:id="34" w:name="_Toc1342"/>
      <w:bookmarkStart w:id="35" w:name="_Toc1967"/>
      <w:r>
        <w:rPr>
          <w:rFonts w:hint="eastAsia" w:ascii="方正楷体_GBK" w:eastAsia="方正楷体_GBK"/>
        </w:rPr>
        <w:t>（二）规划原则</w:t>
      </w:r>
      <w:bookmarkEnd w:id="32"/>
      <w:bookmarkEnd w:id="33"/>
      <w:bookmarkEnd w:id="34"/>
      <w:bookmarkEnd w:id="35"/>
      <w:r>
        <w:rPr>
          <w:rFonts w:hint="eastAsia" w:ascii="方正楷体_GBK" w:eastAsia="方正楷体_GBK"/>
        </w:rPr>
        <w:t>。</w:t>
      </w:r>
    </w:p>
    <w:p>
      <w:pPr>
        <w:spacing w:line="560" w:lineRule="exact"/>
        <w:ind w:firstLine="632" w:firstLineChars="200"/>
      </w:pPr>
      <w:bookmarkStart w:id="36" w:name="_Toc27416"/>
      <w:bookmarkStart w:id="37" w:name="_Toc7314"/>
      <w:r>
        <w:rPr>
          <w:b/>
        </w:rPr>
        <w:t>生态优先、绿色发展。</w:t>
      </w:r>
      <w:r>
        <w:t>保持生态文明建设战略定力，践行绿色低碳发展理念，强化生态环境分区管控，严守资源消耗上限、环境质量底线和生态保护红线，系统推进生态修复与环境治理，确保生态环境质量保持优良，提高优质生态产品供给能力，以资源环境承载力规范各类资源开发和社会经济活动，以大力发展生态农业、积极推动生态旅游业为主要抓手，实现社会经济绿色发展。</w:t>
      </w:r>
    </w:p>
    <w:p>
      <w:pPr>
        <w:spacing w:line="560" w:lineRule="exact"/>
        <w:ind w:firstLine="632" w:firstLineChars="200"/>
        <w:rPr>
          <w:rFonts w:hint="eastAsia" w:ascii="方正仿宋_GBK"/>
        </w:rPr>
      </w:pPr>
      <w:r>
        <w:rPr>
          <w:rFonts w:hint="eastAsia" w:ascii="方正仿宋_GBK"/>
          <w:b/>
        </w:rPr>
        <w:t>以人为本、民生为先。</w:t>
      </w:r>
      <w:r>
        <w:rPr>
          <w:rFonts w:hint="eastAsia" w:ascii="方正仿宋_GBK"/>
        </w:rPr>
        <w:t>坚持“以人民为中心”的发展思想，站在民生福祉的高度推进各项生态文明建设工作，将“以人为本”作为生态文明建设的出发点和落脚点，切实解决损害群众健康的突出环境问题，努力提供更多优质生态产品，打造美丽、宜居、幸福家园，最大限度地满足人民群众对良好生态环境的热切期盼，让人民群众共享生态文明建设成果。</w:t>
      </w:r>
    </w:p>
    <w:p>
      <w:pPr>
        <w:spacing w:line="560" w:lineRule="exact"/>
        <w:ind w:firstLine="632" w:firstLineChars="200"/>
      </w:pPr>
      <w:r>
        <w:rPr>
          <w:b/>
        </w:rPr>
        <w:t>突出重点、彰显特色。</w:t>
      </w:r>
      <w:r>
        <w:t>立足长白地域特色，突出特色保护，以补齐</w:t>
      </w:r>
      <w:r>
        <w:rPr>
          <w:rFonts w:hint="eastAsia"/>
        </w:rPr>
        <w:t>长白朝鲜族自治县</w:t>
      </w:r>
      <w:r>
        <w:t>生态文明建设短板为重点，实现全县生态文明建设水平的全面提升；注重分析</w:t>
      </w:r>
      <w:r>
        <w:rPr>
          <w:rFonts w:hint="eastAsia"/>
        </w:rPr>
        <w:t>长白朝鲜族自治县</w:t>
      </w:r>
      <w:r>
        <w:t>地理环境、资源禀赋、生态本底和社会经济现状，掌握</w:t>
      </w:r>
      <w:r>
        <w:rPr>
          <w:rFonts w:hint="eastAsia"/>
        </w:rPr>
        <w:t>长白朝鲜族自治县</w:t>
      </w:r>
      <w:r>
        <w:t>基本特点，做到精准施策、全面覆盖、分类建设，确保</w:t>
      </w:r>
      <w:r>
        <w:rPr>
          <w:rFonts w:hint="eastAsia"/>
        </w:rPr>
        <w:t>长白朝鲜族自治县</w:t>
      </w:r>
      <w:r>
        <w:t>生态文明建设工作有重点、有特色、高质量。</w:t>
      </w:r>
    </w:p>
    <w:p>
      <w:pPr>
        <w:spacing w:line="560" w:lineRule="exact"/>
        <w:ind w:firstLine="632" w:firstLineChars="200"/>
      </w:pPr>
      <w:r>
        <w:rPr>
          <w:b/>
        </w:rPr>
        <w:t>改革创新，先行先试。</w:t>
      </w:r>
      <w:r>
        <w:t>把改革创新作为推进生态文明建设的基本动力，健全国土空间开发、资源节约利用、生态环境保护的体制机制，综合运用行政、法律、经济、技术等手段，以解决当前面临的突出环境问题为抓手，突出重点，全面推进，带动生态文明建设水平整体提升。善用底线思维，守住生态保护红线，推进重点领域、关键环节的体制机制改革，勇当先行先试的排头兵。</w:t>
      </w:r>
    </w:p>
    <w:p>
      <w:pPr>
        <w:spacing w:line="560" w:lineRule="exact"/>
        <w:ind w:firstLine="632" w:firstLineChars="200"/>
      </w:pPr>
      <w:r>
        <w:rPr>
          <w:b/>
        </w:rPr>
        <w:t>统筹协调，重点突破。</w:t>
      </w:r>
      <w:r>
        <w:rPr>
          <w:rFonts w:hint="eastAsia"/>
        </w:rPr>
        <w:t>统筹推进“五位一体”总体布局，系统考虑目标责任、生态安全、生态经济、生态文化、生态文明制度五大体系，科学制定重点任务和工程措施，构建多措并举、协调推进的格局。</w:t>
      </w:r>
      <w:r>
        <w:t>统筹安排生态文明建设的各项任务，妥善处理好发展与保护、政府与市场、城市与农村、近期与远期、局部与全局的关系，重点解决工业化、城镇化、信息化、农业现代化进程中影响可持续发展的突出问题，选择条件成熟的领域和乡镇重点突破，带动生态文明建设工作全面推进。</w:t>
      </w:r>
    </w:p>
    <w:p>
      <w:pPr>
        <w:spacing w:line="560" w:lineRule="exact"/>
        <w:ind w:firstLine="632" w:firstLineChars="200"/>
      </w:pPr>
      <w:r>
        <w:rPr>
          <w:b/>
        </w:rPr>
        <w:t>政府推动，全民行动。</w:t>
      </w:r>
      <w:r>
        <w:t>把生态文明建设摆上</w:t>
      </w:r>
      <w:r>
        <w:rPr>
          <w:rFonts w:hint="eastAsia"/>
        </w:rPr>
        <w:t>长白朝鲜族自治县</w:t>
      </w:r>
      <w:r>
        <w:t>党委、政府的重要议事日程，在组织领导、规划引领、资金投入、制度创新方面发挥主导作用，提供良好的政策和公共服务环境。进一步强化企业生态环境保护意识和责任，提高公众参与的积极性、广泛性，鼓励与支持公众参与创建生态文明的各项活动，形成建设生态文明的强大合力。</w:t>
      </w:r>
    </w:p>
    <w:bookmarkEnd w:id="36"/>
    <w:bookmarkEnd w:id="37"/>
    <w:p>
      <w:pPr>
        <w:spacing w:line="560" w:lineRule="exact"/>
        <w:ind w:firstLine="632" w:firstLineChars="200"/>
        <w:rPr>
          <w:rFonts w:hint="eastAsia" w:ascii="方正楷体_GBK" w:eastAsia="方正楷体_GBK"/>
        </w:rPr>
      </w:pPr>
      <w:bookmarkStart w:id="38" w:name="_Toc18761"/>
      <w:bookmarkStart w:id="39" w:name="_Toc8342"/>
      <w:bookmarkStart w:id="40" w:name="_Toc31483"/>
      <w:bookmarkStart w:id="41" w:name="_Toc18431"/>
      <w:r>
        <w:rPr>
          <w:rFonts w:hint="eastAsia" w:ascii="方正楷体_GBK" w:eastAsia="方正楷体_GBK"/>
        </w:rPr>
        <w:t>（三）编制依据</w:t>
      </w:r>
      <w:bookmarkEnd w:id="38"/>
      <w:bookmarkEnd w:id="39"/>
      <w:r>
        <w:rPr>
          <w:rFonts w:hint="eastAsia" w:ascii="方正楷体_GBK" w:eastAsia="方正楷体_GBK"/>
        </w:rPr>
        <w:t>。</w:t>
      </w:r>
    </w:p>
    <w:p>
      <w:pPr>
        <w:spacing w:line="560" w:lineRule="exact"/>
        <w:ind w:firstLine="632" w:firstLineChars="200"/>
        <w:rPr>
          <w:rFonts w:hint="eastAsia"/>
        </w:rPr>
      </w:pPr>
      <w:bookmarkStart w:id="42" w:name="_Toc14459"/>
      <w:r>
        <w:rPr>
          <w:rFonts w:hint="eastAsia"/>
        </w:rPr>
        <w:t>1</w:t>
      </w:r>
      <w:r>
        <w:t>﹒</w:t>
      </w:r>
      <w:r>
        <w:rPr>
          <w:rFonts w:hint="eastAsia"/>
        </w:rPr>
        <w:t>国家法律法规和政策</w:t>
      </w:r>
      <w:bookmarkEnd w:id="42"/>
      <w:r>
        <w:rPr>
          <w:rFonts w:hint="eastAsia"/>
        </w:rPr>
        <w:t>。</w:t>
      </w:r>
    </w:p>
    <w:p>
      <w:pPr>
        <w:spacing w:line="560" w:lineRule="exact"/>
        <w:ind w:firstLine="632" w:firstLineChars="200"/>
        <w:rPr>
          <w:rFonts w:hint="eastAsia"/>
        </w:rPr>
      </w:pPr>
      <w:r>
        <w:rPr>
          <w:rFonts w:hint="eastAsia"/>
        </w:rPr>
        <w:t>（1）《中华人民共和国环境保护法》（2014年修订）；</w:t>
      </w:r>
    </w:p>
    <w:p>
      <w:pPr>
        <w:spacing w:line="560" w:lineRule="exact"/>
        <w:ind w:firstLine="632" w:firstLineChars="200"/>
        <w:rPr>
          <w:rFonts w:hint="eastAsia"/>
        </w:rPr>
      </w:pPr>
      <w:r>
        <w:rPr>
          <w:rFonts w:hint="eastAsia"/>
        </w:rPr>
        <w:t>（2）《中华人民共和国大气污染防治法》（2015年修订）；</w:t>
      </w:r>
    </w:p>
    <w:p>
      <w:pPr>
        <w:spacing w:line="560" w:lineRule="exact"/>
        <w:ind w:firstLine="632" w:firstLineChars="200"/>
        <w:rPr>
          <w:rFonts w:hint="eastAsia"/>
        </w:rPr>
      </w:pPr>
      <w:r>
        <w:rPr>
          <w:rFonts w:hint="eastAsia"/>
        </w:rPr>
        <w:t>（3）《中华人民共和国水污染防治法》（2017年修订）；</w:t>
      </w:r>
    </w:p>
    <w:p>
      <w:pPr>
        <w:spacing w:line="560" w:lineRule="exact"/>
        <w:ind w:firstLine="632" w:firstLineChars="200"/>
        <w:rPr>
          <w:rFonts w:hint="eastAsia"/>
        </w:rPr>
      </w:pPr>
      <w:r>
        <w:rPr>
          <w:rFonts w:hint="eastAsia"/>
        </w:rPr>
        <w:t>（4）《中华人民共和国土壤污染防治法》（2018年修订）；</w:t>
      </w:r>
    </w:p>
    <w:p>
      <w:pPr>
        <w:spacing w:line="560" w:lineRule="exact"/>
        <w:ind w:firstLine="632" w:firstLineChars="200"/>
        <w:rPr>
          <w:rFonts w:hint="eastAsia"/>
        </w:rPr>
      </w:pPr>
      <w:r>
        <w:rPr>
          <w:rFonts w:hint="eastAsia"/>
        </w:rPr>
        <w:t>（5）《中华人民共和国环境噪声污染防治法》（2022年修订）；</w:t>
      </w:r>
    </w:p>
    <w:p>
      <w:pPr>
        <w:spacing w:line="560" w:lineRule="exact"/>
        <w:ind w:firstLine="632" w:firstLineChars="200"/>
        <w:rPr>
          <w:rFonts w:hint="eastAsia"/>
        </w:rPr>
      </w:pPr>
      <w:r>
        <w:rPr>
          <w:rFonts w:hint="eastAsia"/>
        </w:rPr>
        <w:t>（6）《中华人民共和国固体废物污染环境防治法》（2020年修订）；</w:t>
      </w:r>
    </w:p>
    <w:p>
      <w:pPr>
        <w:spacing w:line="560" w:lineRule="exact"/>
        <w:ind w:firstLine="632" w:firstLineChars="200"/>
        <w:rPr>
          <w:rFonts w:hint="eastAsia"/>
        </w:rPr>
      </w:pPr>
      <w:r>
        <w:rPr>
          <w:rFonts w:hint="eastAsia"/>
        </w:rPr>
        <w:t>（7）《中华人民共和国城乡规划法》（2019年修订）；</w:t>
      </w:r>
    </w:p>
    <w:p>
      <w:pPr>
        <w:spacing w:line="560" w:lineRule="exact"/>
        <w:ind w:firstLine="632" w:firstLineChars="200"/>
        <w:rPr>
          <w:rFonts w:hint="eastAsia"/>
        </w:rPr>
      </w:pPr>
      <w:r>
        <w:rPr>
          <w:rFonts w:hint="eastAsia"/>
        </w:rPr>
        <w:t>（8）《中华人民共和国文物保护法》（2017年修订）；</w:t>
      </w:r>
    </w:p>
    <w:p>
      <w:pPr>
        <w:spacing w:line="560" w:lineRule="exact"/>
        <w:ind w:firstLine="632" w:firstLineChars="200"/>
        <w:rPr>
          <w:rFonts w:hint="eastAsia"/>
        </w:rPr>
      </w:pPr>
      <w:r>
        <w:rPr>
          <w:rFonts w:hint="eastAsia"/>
        </w:rPr>
        <w:t>（9）《中华人民共和国防洪法》（2016年修订）；</w:t>
      </w:r>
    </w:p>
    <w:p>
      <w:pPr>
        <w:spacing w:line="560" w:lineRule="exact"/>
        <w:ind w:firstLine="632" w:firstLineChars="200"/>
        <w:rPr>
          <w:rFonts w:hint="eastAsia"/>
        </w:rPr>
      </w:pPr>
      <w:r>
        <w:rPr>
          <w:rFonts w:hint="eastAsia"/>
        </w:rPr>
        <w:t>（10）《中华人民共和国环境影响评价法》（2018年修订）；</w:t>
      </w:r>
    </w:p>
    <w:p>
      <w:pPr>
        <w:spacing w:line="560" w:lineRule="exact"/>
        <w:ind w:firstLine="632" w:firstLineChars="200"/>
        <w:rPr>
          <w:rFonts w:hint="eastAsia"/>
        </w:rPr>
      </w:pPr>
      <w:r>
        <w:rPr>
          <w:rFonts w:hint="eastAsia"/>
        </w:rPr>
        <w:t>（11）《中华人民共和国清洁生产促进法》（2012年修正）；</w:t>
      </w:r>
    </w:p>
    <w:p>
      <w:pPr>
        <w:spacing w:line="560" w:lineRule="exact"/>
        <w:ind w:firstLine="632" w:firstLineChars="200"/>
        <w:rPr>
          <w:rFonts w:hint="eastAsia"/>
        </w:rPr>
      </w:pPr>
      <w:r>
        <w:rPr>
          <w:rFonts w:hint="eastAsia"/>
        </w:rPr>
        <w:t>（12）《中华人民共和国循环经济促进法》（2018年修订）；</w:t>
      </w:r>
    </w:p>
    <w:p>
      <w:pPr>
        <w:spacing w:line="560" w:lineRule="exact"/>
        <w:ind w:firstLine="632" w:firstLineChars="200"/>
        <w:rPr>
          <w:rFonts w:hint="eastAsia"/>
        </w:rPr>
      </w:pPr>
      <w:r>
        <w:rPr>
          <w:rFonts w:hint="eastAsia"/>
        </w:rPr>
        <w:t>（13）《中华人民共和国森林法》（2020年修订）；</w:t>
      </w:r>
    </w:p>
    <w:p>
      <w:pPr>
        <w:spacing w:line="560" w:lineRule="exact"/>
        <w:ind w:firstLine="632" w:firstLineChars="200"/>
        <w:rPr>
          <w:rFonts w:hint="eastAsia"/>
        </w:rPr>
      </w:pPr>
      <w:r>
        <w:rPr>
          <w:rFonts w:hint="eastAsia"/>
        </w:rPr>
        <w:t>（14）《中华人民共和国野生动物保护法》（2016年修订）；</w:t>
      </w:r>
    </w:p>
    <w:p>
      <w:pPr>
        <w:spacing w:line="560" w:lineRule="exact"/>
        <w:ind w:firstLine="632" w:firstLineChars="200"/>
        <w:rPr>
          <w:rFonts w:hint="eastAsia"/>
        </w:rPr>
      </w:pPr>
      <w:r>
        <w:rPr>
          <w:rFonts w:hint="eastAsia"/>
        </w:rPr>
        <w:t>（15）《中华人民共和国水土保持法》（2010年修订）；</w:t>
      </w:r>
    </w:p>
    <w:p>
      <w:pPr>
        <w:spacing w:line="560" w:lineRule="exact"/>
        <w:ind w:firstLine="632" w:firstLineChars="200"/>
        <w:rPr>
          <w:rFonts w:hint="eastAsia"/>
        </w:rPr>
      </w:pPr>
      <w:r>
        <w:rPr>
          <w:rFonts w:hint="eastAsia"/>
        </w:rPr>
        <w:t>（16）《中华人民共和国矿产资源法》（2019年修订）；</w:t>
      </w:r>
    </w:p>
    <w:p>
      <w:pPr>
        <w:spacing w:line="560" w:lineRule="exact"/>
        <w:ind w:firstLine="632" w:firstLineChars="200"/>
        <w:rPr>
          <w:rFonts w:hint="eastAsia"/>
        </w:rPr>
      </w:pPr>
      <w:r>
        <w:rPr>
          <w:rFonts w:hint="eastAsia"/>
        </w:rPr>
        <w:t>（17）《中华人民共和国节约能源法》（2018年修订）；</w:t>
      </w:r>
    </w:p>
    <w:p>
      <w:pPr>
        <w:spacing w:line="560" w:lineRule="exact"/>
        <w:ind w:firstLine="632" w:firstLineChars="200"/>
        <w:rPr>
          <w:rFonts w:hint="eastAsia"/>
        </w:rPr>
      </w:pPr>
      <w:r>
        <w:rPr>
          <w:rFonts w:hint="eastAsia"/>
        </w:rPr>
        <w:t>（18）《中华人民共和国自然保护区条例》（2017年修订）；</w:t>
      </w:r>
    </w:p>
    <w:p>
      <w:pPr>
        <w:spacing w:line="560" w:lineRule="exact"/>
        <w:ind w:firstLine="632" w:firstLineChars="200"/>
        <w:rPr>
          <w:rFonts w:hint="eastAsia"/>
        </w:rPr>
      </w:pPr>
      <w:r>
        <w:rPr>
          <w:rFonts w:hint="eastAsia"/>
        </w:rPr>
        <w:t>（19）《中华人民共和国基本农田保护条例》（2011年修订）；</w:t>
      </w:r>
    </w:p>
    <w:p>
      <w:pPr>
        <w:spacing w:line="560" w:lineRule="exact"/>
        <w:ind w:firstLine="632" w:firstLineChars="200"/>
        <w:rPr>
          <w:rFonts w:hint="eastAsia"/>
        </w:rPr>
      </w:pPr>
      <w:r>
        <w:rPr>
          <w:rFonts w:hint="eastAsia"/>
        </w:rPr>
        <w:t>（20）《全国生态示范区建设规划纲要》（1996—2050年）；</w:t>
      </w:r>
    </w:p>
    <w:p>
      <w:pPr>
        <w:spacing w:line="560" w:lineRule="exact"/>
        <w:ind w:firstLine="632" w:firstLineChars="200"/>
        <w:rPr>
          <w:rFonts w:hint="eastAsia"/>
        </w:rPr>
      </w:pPr>
      <w:r>
        <w:rPr>
          <w:rFonts w:hint="eastAsia"/>
        </w:rPr>
        <w:t>（21）《习近平生态文明思想学习纲要》（2022年）；</w:t>
      </w:r>
    </w:p>
    <w:p>
      <w:pPr>
        <w:spacing w:line="560" w:lineRule="exact"/>
        <w:ind w:firstLine="632" w:firstLineChars="200"/>
        <w:rPr>
          <w:rFonts w:hint="eastAsia"/>
        </w:rPr>
      </w:pPr>
      <w:r>
        <w:rPr>
          <w:rFonts w:hint="eastAsia"/>
        </w:rPr>
        <w:t>（22）《中共中央 国务院关于加快推进生态文明建设的意见》（2015年）；</w:t>
      </w:r>
    </w:p>
    <w:p>
      <w:pPr>
        <w:spacing w:line="560" w:lineRule="exact"/>
        <w:ind w:firstLine="632" w:firstLineChars="200"/>
        <w:rPr>
          <w:rFonts w:hint="eastAsia"/>
        </w:rPr>
      </w:pPr>
      <w:r>
        <w:rPr>
          <w:rFonts w:hint="eastAsia"/>
        </w:rPr>
        <w:t>（23）《中共中央 国务院关于印发生态文明体制改革总体方案的通知》（2015年）；</w:t>
      </w:r>
    </w:p>
    <w:p>
      <w:pPr>
        <w:spacing w:line="560" w:lineRule="exact"/>
        <w:ind w:firstLine="632" w:firstLineChars="200"/>
        <w:rPr>
          <w:rFonts w:hint="eastAsia"/>
        </w:rPr>
      </w:pPr>
      <w:r>
        <w:rPr>
          <w:rFonts w:hint="eastAsia"/>
        </w:rPr>
        <w:t>（24）“美丽中国，我是行动者”提升公民生态文明意识行动计划（2021—2025年）；</w:t>
      </w:r>
    </w:p>
    <w:p>
      <w:pPr>
        <w:spacing w:line="560" w:lineRule="exact"/>
        <w:ind w:firstLine="632" w:firstLineChars="200"/>
        <w:rPr>
          <w:rFonts w:hint="eastAsia"/>
        </w:rPr>
      </w:pPr>
      <w:r>
        <w:rPr>
          <w:rFonts w:hint="eastAsia"/>
        </w:rPr>
        <w:t>（25）《中共中央办公厅 国务院办公厅关于印发〈天然林保护修复制度方案〉的通知》（厅字〔2019〕39号）；</w:t>
      </w:r>
    </w:p>
    <w:p>
      <w:pPr>
        <w:spacing w:line="560" w:lineRule="exact"/>
        <w:ind w:firstLine="632" w:firstLineChars="200"/>
        <w:rPr>
          <w:rFonts w:hint="eastAsia"/>
        </w:rPr>
      </w:pPr>
      <w:r>
        <w:rPr>
          <w:rFonts w:hint="eastAsia"/>
        </w:rPr>
        <w:t>（26）《中共中央办公厅 国务院办公厅印发〈关于构建现代环境治理体系的指导意见〉的通知》（2020年）；</w:t>
      </w:r>
    </w:p>
    <w:p>
      <w:pPr>
        <w:spacing w:line="560" w:lineRule="exact"/>
        <w:ind w:firstLine="632" w:firstLineChars="200"/>
        <w:rPr>
          <w:rFonts w:hint="eastAsia"/>
        </w:rPr>
      </w:pPr>
      <w:r>
        <w:rPr>
          <w:rFonts w:hint="eastAsia"/>
        </w:rPr>
        <w:t>（27）《生态环境部关于印发〈国家生态文明建设示范区规划编制指南（试行）〉的通知》（环办生态函〔2021〕146号）；</w:t>
      </w:r>
    </w:p>
    <w:p>
      <w:pPr>
        <w:spacing w:line="560" w:lineRule="exact"/>
        <w:ind w:firstLine="632" w:firstLineChars="200"/>
        <w:rPr>
          <w:rFonts w:hint="eastAsia"/>
        </w:rPr>
      </w:pPr>
      <w:r>
        <w:rPr>
          <w:rFonts w:hint="eastAsia"/>
        </w:rPr>
        <w:t>（28）</w:t>
      </w:r>
      <w:r>
        <w:rPr>
          <w:rFonts w:hint="eastAsia" w:ascii="方正仿宋_GBK"/>
          <w:color w:val="000000"/>
        </w:rPr>
        <w:t>《生态环境部办</w:t>
      </w:r>
      <w:r>
        <w:rPr>
          <w:color w:val="000000"/>
        </w:rPr>
        <w:t>公厅</w:t>
      </w:r>
      <w:r>
        <w:rPr>
          <w:rFonts w:hint="eastAsia" w:ascii="方正仿宋_GBK"/>
          <w:color w:val="000000"/>
        </w:rPr>
        <w:t>关于印发〈生态文明建设示范区（市）建设指标〉〈生态文明建设示范区（县）建设指标〉〈生态文明建设示范区管理规程〉〈“绿水青山就是金山银山”实践创新基地建设管理规程〉的通知》（环办生态</w:t>
      </w:r>
      <w:r>
        <w:rPr>
          <w:rFonts w:hint="eastAsia"/>
          <w:color w:val="0000FF"/>
        </w:rPr>
        <w:t>〔</w:t>
      </w:r>
      <w:r>
        <w:rPr>
          <w:color w:val="0000FF"/>
        </w:rPr>
        <w:t>2024</w:t>
      </w:r>
      <w:r>
        <w:rPr>
          <w:rFonts w:hint="eastAsia"/>
        </w:rPr>
        <w:t>〕</w:t>
      </w:r>
      <w:r>
        <w:rPr>
          <w:color w:val="000000"/>
        </w:rPr>
        <w:t>4号</w:t>
      </w:r>
      <w:r>
        <w:rPr>
          <w:rFonts w:hint="eastAsia" w:ascii="方正仿宋_GBK"/>
          <w:color w:val="000000"/>
        </w:rPr>
        <w:t>）</w:t>
      </w:r>
      <w:r>
        <w:rPr>
          <w:rFonts w:hint="eastAsia"/>
        </w:rPr>
        <w:t>；</w:t>
      </w:r>
    </w:p>
    <w:p>
      <w:pPr>
        <w:spacing w:line="560" w:lineRule="exact"/>
        <w:ind w:firstLine="632" w:firstLineChars="200"/>
        <w:rPr>
          <w:rFonts w:hint="eastAsia"/>
        </w:rPr>
      </w:pPr>
      <w:r>
        <w:rPr>
          <w:rFonts w:hint="eastAsia"/>
        </w:rPr>
        <w:t>（29）《中华人民共和国国民经济和社会发展第十四个五年规划和2035年远景目标纲要》。</w:t>
      </w:r>
    </w:p>
    <w:p>
      <w:pPr>
        <w:spacing w:line="560" w:lineRule="exact"/>
        <w:ind w:firstLine="632" w:firstLineChars="200"/>
        <w:rPr>
          <w:rFonts w:hint="eastAsia"/>
        </w:rPr>
      </w:pPr>
      <w:bookmarkStart w:id="43" w:name="_Toc8149"/>
      <w:r>
        <w:rPr>
          <w:rFonts w:hint="eastAsia"/>
        </w:rPr>
        <w:t>2﹒地方相关法律法规、规划</w:t>
      </w:r>
      <w:bookmarkEnd w:id="43"/>
      <w:r>
        <w:rPr>
          <w:rFonts w:hint="eastAsia"/>
        </w:rPr>
        <w:t>。</w:t>
      </w:r>
    </w:p>
    <w:p>
      <w:pPr>
        <w:spacing w:line="560" w:lineRule="exact"/>
        <w:ind w:firstLine="632" w:firstLineChars="200"/>
        <w:rPr>
          <w:rFonts w:hint="eastAsia"/>
        </w:rPr>
      </w:pPr>
      <w:r>
        <w:rPr>
          <w:rFonts w:hint="eastAsia"/>
        </w:rPr>
        <w:t>（1）《吉林省国民经济和社会发展第十四个五年规划和2035年远景目标纲要》（吉政发〔2021〕7号）；</w:t>
      </w:r>
    </w:p>
    <w:p>
      <w:pPr>
        <w:spacing w:line="560" w:lineRule="exact"/>
        <w:ind w:firstLine="632" w:firstLineChars="200"/>
        <w:rPr>
          <w:rFonts w:hint="eastAsia"/>
        </w:rPr>
      </w:pPr>
      <w:r>
        <w:rPr>
          <w:rFonts w:hint="eastAsia"/>
        </w:rPr>
        <w:t>（2）《吉林省生态环境保护条例》（2021.1.1） ；</w:t>
      </w:r>
    </w:p>
    <w:p>
      <w:pPr>
        <w:spacing w:line="560" w:lineRule="exact"/>
        <w:ind w:firstLine="632" w:firstLineChars="200"/>
        <w:rPr>
          <w:rFonts w:hint="eastAsia"/>
        </w:rPr>
      </w:pPr>
      <w:r>
        <w:rPr>
          <w:rFonts w:hint="eastAsia"/>
        </w:rPr>
        <w:t>（3）《吉林省危险废物污染环境防治条例》（2021.7.30）；</w:t>
      </w:r>
    </w:p>
    <w:p>
      <w:pPr>
        <w:spacing w:line="560" w:lineRule="exact"/>
        <w:ind w:firstLine="632" w:firstLineChars="200"/>
        <w:rPr>
          <w:rFonts w:hint="eastAsia"/>
        </w:rPr>
      </w:pPr>
      <w:r>
        <w:rPr>
          <w:rFonts w:hint="eastAsia"/>
        </w:rPr>
        <w:t>（4）《吉林省大气污染防治条例》（2022.10.1）；</w:t>
      </w:r>
    </w:p>
    <w:p>
      <w:pPr>
        <w:spacing w:line="560" w:lineRule="exact"/>
        <w:ind w:firstLine="632" w:firstLineChars="200"/>
        <w:rPr>
          <w:rFonts w:hint="eastAsia"/>
        </w:rPr>
      </w:pPr>
      <w:r>
        <w:rPr>
          <w:rFonts w:hint="eastAsia"/>
        </w:rPr>
        <w:t>（5）《长白朝鲜族自治县国民经济和社会发展第十四个五年规划和二O三五年远景目标规划纲要》；</w:t>
      </w:r>
    </w:p>
    <w:p>
      <w:pPr>
        <w:spacing w:line="560" w:lineRule="exact"/>
        <w:ind w:firstLine="632" w:firstLineChars="200"/>
        <w:rPr>
          <w:rFonts w:hint="eastAsia"/>
        </w:rPr>
      </w:pPr>
      <w:r>
        <w:rPr>
          <w:rFonts w:hint="eastAsia"/>
        </w:rPr>
        <w:t>（6）《长白朝鲜族自治县国土空间总体规划（2021—2035）》；</w:t>
      </w:r>
    </w:p>
    <w:p>
      <w:pPr>
        <w:spacing w:line="560" w:lineRule="exact"/>
        <w:ind w:firstLine="632" w:firstLineChars="200"/>
      </w:pPr>
      <w:r>
        <w:rPr>
          <w:rFonts w:hint="eastAsia"/>
        </w:rPr>
        <w:t>（7）《长白朝鲜族自治县“十四五”生态环境保护规划》。</w:t>
      </w:r>
    </w:p>
    <w:p>
      <w:pPr>
        <w:spacing w:line="560" w:lineRule="exact"/>
        <w:ind w:firstLine="632" w:firstLineChars="200"/>
        <w:rPr>
          <w:rFonts w:hint="eastAsia" w:ascii="方正楷体_GBK" w:eastAsia="方正楷体_GBK"/>
        </w:rPr>
      </w:pPr>
      <w:bookmarkStart w:id="44" w:name="_Toc6179"/>
      <w:bookmarkStart w:id="45" w:name="_Toc7558"/>
      <w:r>
        <w:rPr>
          <w:rFonts w:hint="eastAsia" w:ascii="方正楷体_GBK" w:eastAsia="方正楷体_GBK"/>
        </w:rPr>
        <w:t>（四）规划范围</w:t>
      </w:r>
      <w:bookmarkEnd w:id="40"/>
      <w:bookmarkEnd w:id="41"/>
      <w:bookmarkEnd w:id="44"/>
      <w:bookmarkEnd w:id="45"/>
      <w:r>
        <w:rPr>
          <w:rFonts w:hint="eastAsia" w:ascii="方正楷体_GBK" w:eastAsia="方正楷体_GBK"/>
        </w:rPr>
        <w:t>。</w:t>
      </w:r>
    </w:p>
    <w:p>
      <w:pPr>
        <w:spacing w:line="560" w:lineRule="exact"/>
        <w:ind w:firstLine="632" w:firstLineChars="200"/>
      </w:pPr>
      <w:r>
        <w:t>规划范围为</w:t>
      </w:r>
      <w:r>
        <w:rPr>
          <w:rFonts w:hint="eastAsia"/>
        </w:rPr>
        <w:t>长白朝鲜族自治县</w:t>
      </w:r>
      <w:r>
        <w:t>全域，幅员面积2504.53平方公里，包括长白镇、马鹿沟镇、十四道沟镇、十二道沟镇、宝泉山镇、八道沟镇、新房子镇和金华乡8个乡</w:t>
      </w:r>
      <w:r>
        <w:rPr>
          <w:rFonts w:hint="eastAsia"/>
        </w:rPr>
        <w:t>（</w:t>
      </w:r>
      <w:r>
        <w:t>镇）、77个行政村。</w:t>
      </w:r>
    </w:p>
    <w:p>
      <w:pPr>
        <w:spacing w:line="560" w:lineRule="exact"/>
        <w:ind w:firstLine="632" w:firstLineChars="200"/>
        <w:rPr>
          <w:rFonts w:hint="eastAsia" w:ascii="方正楷体_GBK" w:eastAsia="方正楷体_GBK"/>
        </w:rPr>
      </w:pPr>
      <w:bookmarkStart w:id="46" w:name="_Toc31859"/>
      <w:bookmarkStart w:id="47" w:name="_Toc6261"/>
      <w:bookmarkStart w:id="48" w:name="_Toc31895"/>
      <w:bookmarkStart w:id="49" w:name="_Toc7991"/>
      <w:r>
        <w:rPr>
          <w:rFonts w:hint="eastAsia" w:ascii="方正楷体_GBK" w:eastAsia="方正楷体_GBK"/>
        </w:rPr>
        <w:t>（五）规划</w:t>
      </w:r>
      <w:bookmarkEnd w:id="46"/>
      <w:bookmarkEnd w:id="47"/>
      <w:r>
        <w:rPr>
          <w:rFonts w:hint="eastAsia" w:ascii="方正楷体_GBK" w:eastAsia="方正楷体_GBK"/>
        </w:rPr>
        <w:t>期限</w:t>
      </w:r>
      <w:bookmarkEnd w:id="48"/>
      <w:bookmarkEnd w:id="49"/>
      <w:r>
        <w:rPr>
          <w:rFonts w:hint="eastAsia" w:ascii="方正楷体_GBK" w:eastAsia="方正楷体_GBK"/>
        </w:rPr>
        <w:t>。</w:t>
      </w:r>
    </w:p>
    <w:p>
      <w:pPr>
        <w:spacing w:line="560" w:lineRule="exact"/>
        <w:ind w:firstLine="632" w:firstLineChars="200"/>
      </w:pPr>
      <w:r>
        <w:t>按照《</w:t>
      </w:r>
      <w:r>
        <w:rPr>
          <w:rFonts w:hint="eastAsia"/>
        </w:rPr>
        <w:t>生态环境部办公厅关于印发〈生态文明建设示范区（市）建设指标〉〈生态文明建设示范区（县）建设指标〉〈生态文明建设示范区管理规程〉〈“绿水青山就是金山银山”实践创新基地建设管理规程〉的通知</w:t>
      </w:r>
      <w:r>
        <w:t>》</w:t>
      </w:r>
      <w:r>
        <w:rPr>
          <w:rFonts w:hint="eastAsia"/>
        </w:rPr>
        <w:t>（</w:t>
      </w:r>
      <w:r>
        <w:t>环办生态</w:t>
      </w:r>
      <w:r>
        <w:rPr>
          <w:rFonts w:hint="eastAsia"/>
        </w:rPr>
        <w:t>〔</w:t>
      </w:r>
      <w:r>
        <w:t>2</w:t>
      </w:r>
      <w:r>
        <w:rPr>
          <w:color w:val="0000FF"/>
        </w:rPr>
        <w:t>024</w:t>
      </w:r>
      <w:r>
        <w:rPr>
          <w:rFonts w:hint="eastAsia"/>
        </w:rPr>
        <w:t>〕4</w:t>
      </w:r>
      <w:r>
        <w:t>号</w:t>
      </w:r>
      <w:r>
        <w:rPr>
          <w:rFonts w:hint="eastAsia"/>
        </w:rPr>
        <w:t>）</w:t>
      </w:r>
      <w:r>
        <w:t>的要求，结合</w:t>
      </w:r>
      <w:r>
        <w:rPr>
          <w:rFonts w:hint="eastAsia"/>
        </w:rPr>
        <w:t>长白朝鲜族自治县</w:t>
      </w:r>
      <w:r>
        <w:t>实际，编制本次规划。</w:t>
      </w:r>
    </w:p>
    <w:p>
      <w:pPr>
        <w:spacing w:line="560" w:lineRule="exact"/>
        <w:ind w:firstLine="632" w:firstLineChars="200"/>
        <w:rPr>
          <w:rFonts w:hint="eastAsia"/>
        </w:rPr>
      </w:pPr>
      <w:r>
        <w:rPr>
          <w:rFonts w:hint="eastAsia"/>
        </w:rPr>
        <w:t xml:space="preserve">规划期限为：2024—2030年。 </w:t>
      </w:r>
    </w:p>
    <w:p>
      <w:pPr>
        <w:spacing w:line="560" w:lineRule="exact"/>
        <w:ind w:firstLine="632" w:firstLineChars="200"/>
        <w:rPr>
          <w:rFonts w:hint="eastAsia"/>
        </w:rPr>
      </w:pPr>
      <w:r>
        <w:rPr>
          <w:rFonts w:hint="eastAsia"/>
        </w:rPr>
        <w:t>基准年：2023年，规划中基础数据没有特殊说明，均为2023年数据。</w:t>
      </w:r>
    </w:p>
    <w:p>
      <w:pPr>
        <w:spacing w:line="560" w:lineRule="exact"/>
        <w:ind w:firstLine="632" w:firstLineChars="200"/>
        <w:rPr>
          <w:rFonts w:hint="eastAsia"/>
        </w:rPr>
      </w:pPr>
      <w:r>
        <w:rPr>
          <w:rFonts w:hint="eastAsia"/>
        </w:rPr>
        <w:t>规划近期：2024—2027年；长白朝鲜族自治县生态文明建设创建达标阶段。</w:t>
      </w:r>
    </w:p>
    <w:p>
      <w:pPr>
        <w:spacing w:line="560" w:lineRule="exact"/>
        <w:ind w:firstLine="632" w:firstLineChars="200"/>
      </w:pPr>
      <w:r>
        <w:rPr>
          <w:rFonts w:hint="eastAsia"/>
        </w:rPr>
        <w:t>规划远期：2028—2030年；长白朝鲜族自治县生态文明建设巩固提升阶段。</w:t>
      </w:r>
    </w:p>
    <w:p>
      <w:pPr>
        <w:spacing w:line="560" w:lineRule="exact"/>
        <w:ind w:left="480" w:leftChars="152" w:firstLine="158" w:firstLineChars="50"/>
        <w:rPr>
          <w:rFonts w:hint="eastAsia" w:ascii="方正楷体_GBK" w:eastAsia="方正楷体_GBK"/>
        </w:rPr>
      </w:pPr>
      <w:bookmarkStart w:id="50" w:name="_Toc20061"/>
      <w:bookmarkStart w:id="51" w:name="_Toc16469"/>
      <w:bookmarkStart w:id="52" w:name="_Toc7634"/>
      <w:bookmarkStart w:id="53" w:name="_Toc8913"/>
      <w:r>
        <w:rPr>
          <w:rFonts w:hint="eastAsia" w:ascii="方正楷体_GBK" w:eastAsia="方正楷体_GBK"/>
        </w:rPr>
        <w:t>（六）规划目标</w:t>
      </w:r>
      <w:bookmarkEnd w:id="50"/>
      <w:bookmarkEnd w:id="51"/>
      <w:bookmarkEnd w:id="52"/>
      <w:bookmarkEnd w:id="53"/>
      <w:r>
        <w:rPr>
          <w:rFonts w:hint="eastAsia" w:ascii="方正楷体_GBK" w:eastAsia="方正楷体_GBK"/>
        </w:rPr>
        <w:t>。</w:t>
      </w:r>
    </w:p>
    <w:p>
      <w:pPr>
        <w:spacing w:line="560" w:lineRule="exact"/>
        <w:ind w:left="480" w:leftChars="152" w:firstLine="158" w:firstLineChars="50"/>
        <w:rPr>
          <w:rFonts w:hint="eastAsia"/>
        </w:rPr>
      </w:pPr>
      <w:bookmarkStart w:id="54" w:name="_Toc27215"/>
      <w:bookmarkStart w:id="55" w:name="_Toc6226"/>
      <w:bookmarkStart w:id="56" w:name="_Toc13561"/>
      <w:r>
        <w:rPr>
          <w:rFonts w:hint="eastAsia"/>
        </w:rPr>
        <w:t>1﹒</w:t>
      </w:r>
      <w:r>
        <w:t>总体目标</w:t>
      </w:r>
      <w:bookmarkEnd w:id="54"/>
      <w:bookmarkEnd w:id="55"/>
      <w:bookmarkEnd w:id="56"/>
      <w:r>
        <w:rPr>
          <w:rFonts w:hint="eastAsia"/>
        </w:rPr>
        <w:t>。</w:t>
      </w:r>
    </w:p>
    <w:p>
      <w:pPr>
        <w:spacing w:line="560" w:lineRule="exact"/>
        <w:ind w:firstLine="632" w:firstLineChars="200"/>
      </w:pPr>
      <w:r>
        <w:t>全面扎实推进生态文明建设工作，力争到规划期末，把</w:t>
      </w:r>
      <w:r>
        <w:rPr>
          <w:rFonts w:hint="eastAsia"/>
        </w:rPr>
        <w:t>长白朝鲜族自治县</w:t>
      </w:r>
      <w:r>
        <w:t>打造成为经济可持续发展、社会文明进步、环境优美适合宜居的生态文明建设示范区样板。</w:t>
      </w:r>
    </w:p>
    <w:p>
      <w:pPr>
        <w:spacing w:line="560" w:lineRule="exact"/>
        <w:ind w:firstLine="632" w:firstLineChars="200"/>
        <w:rPr>
          <w:rFonts w:hint="eastAsia"/>
        </w:rPr>
      </w:pPr>
      <w:bookmarkStart w:id="57" w:name="_Toc24703"/>
      <w:bookmarkStart w:id="58" w:name="_Toc29527"/>
      <w:bookmarkStart w:id="59" w:name="_Toc15718"/>
      <w:r>
        <w:rPr>
          <w:rFonts w:hint="eastAsia"/>
        </w:rPr>
        <w:t>2﹒</w:t>
      </w:r>
      <w:r>
        <w:t>阶段目标</w:t>
      </w:r>
      <w:bookmarkEnd w:id="57"/>
      <w:bookmarkEnd w:id="58"/>
      <w:bookmarkEnd w:id="59"/>
      <w:r>
        <w:rPr>
          <w:rFonts w:hint="eastAsia"/>
        </w:rPr>
        <w:t>。</w:t>
      </w:r>
    </w:p>
    <w:p>
      <w:pPr>
        <w:spacing w:line="560" w:lineRule="exact"/>
        <w:ind w:firstLine="632" w:firstLineChars="200"/>
        <w:rPr>
          <w:rFonts w:hint="eastAsia"/>
        </w:rPr>
      </w:pPr>
      <w:r>
        <w:rPr>
          <w:rFonts w:hint="eastAsia"/>
        </w:rPr>
        <w:t>（</w:t>
      </w:r>
      <w:r>
        <w:t>1）近期目标</w:t>
      </w:r>
      <w:r>
        <w:rPr>
          <w:rFonts w:hint="eastAsia"/>
        </w:rPr>
        <w:t>。</w:t>
      </w:r>
    </w:p>
    <w:p>
      <w:pPr>
        <w:spacing w:line="560" w:lineRule="exact"/>
        <w:ind w:firstLine="632" w:firstLineChars="200"/>
      </w:pPr>
      <w:r>
        <w:t>不断巩固提升生态文明建设成果，健全源头预防、过程控制、损害赔偿、责任追究的生态文明制度。到2027年，生态文明建设指标优于生态文明建设示范区考核验收标准，生态环境质量持续提升，生态系统稳定性得到显著增强，环境风险得到全面管控，环境安全与人体健康得到有效保障，绿色低碳的生产方式、生活方式基本建立，环境治理体系和治理能力现代化水平得到提升。</w:t>
      </w:r>
    </w:p>
    <w:p>
      <w:pPr>
        <w:spacing w:line="560" w:lineRule="exact"/>
        <w:ind w:firstLine="632" w:firstLineChars="200"/>
        <w:rPr>
          <w:rFonts w:hint="eastAsia"/>
        </w:rPr>
      </w:pPr>
      <w:r>
        <w:rPr>
          <w:rFonts w:hint="eastAsia"/>
        </w:rPr>
        <w:t>（</w:t>
      </w:r>
      <w:r>
        <w:t>2）远期目标</w:t>
      </w:r>
      <w:r>
        <w:rPr>
          <w:rFonts w:hint="eastAsia"/>
        </w:rPr>
        <w:t>。</w:t>
      </w:r>
    </w:p>
    <w:p>
      <w:pPr>
        <w:spacing w:line="560" w:lineRule="exact"/>
        <w:ind w:firstLine="632" w:firstLineChars="200"/>
      </w:pPr>
      <w:r>
        <w:t>远期2030年，全县生态文明建设水平全面提升，生态环境治理体系和治理能力基本实现现代化，形成人与自然和谐发展的现代化建设新格局，城乡人居环境明显改善，高品质生态生活为民生兴福利，美丽长白建设成果丰硕，生态文明高地建设成效明显，生态文明建设体制改革全面落实，实现生态环境治理体系和治理能力现代化。</w:t>
      </w:r>
    </w:p>
    <w:p>
      <w:pPr>
        <w:spacing w:line="560" w:lineRule="exact"/>
        <w:ind w:firstLine="632" w:firstLineChars="200"/>
        <w:rPr>
          <w:rFonts w:hint="eastAsia" w:ascii="方正楷体_GBK" w:eastAsia="方正楷体_GBK"/>
        </w:rPr>
      </w:pPr>
      <w:bookmarkStart w:id="60" w:name="_Toc31580"/>
      <w:bookmarkStart w:id="61" w:name="_Toc15201"/>
      <w:bookmarkStart w:id="62" w:name="_Toc26214"/>
      <w:bookmarkStart w:id="63" w:name="_Toc969"/>
      <w:r>
        <w:rPr>
          <w:rFonts w:hint="eastAsia" w:ascii="方正楷体_GBK" w:eastAsia="方正楷体_GBK"/>
        </w:rPr>
        <w:t>（七）规划指标</w:t>
      </w:r>
      <w:bookmarkEnd w:id="60"/>
      <w:bookmarkEnd w:id="61"/>
      <w:bookmarkEnd w:id="62"/>
      <w:bookmarkEnd w:id="63"/>
      <w:r>
        <w:rPr>
          <w:rFonts w:hint="eastAsia" w:ascii="方正楷体_GBK" w:eastAsia="方正楷体_GBK"/>
        </w:rPr>
        <w:t>。</w:t>
      </w:r>
    </w:p>
    <w:p>
      <w:pPr>
        <w:spacing w:line="560" w:lineRule="exact"/>
        <w:ind w:firstLine="632" w:firstLineChars="200"/>
      </w:pPr>
      <w:r>
        <w:rPr>
          <w:rFonts w:hint="eastAsia"/>
        </w:rPr>
        <w:t>本次规划以</w:t>
      </w:r>
      <w:r>
        <w:rPr>
          <w:rFonts w:hint="eastAsia" w:ascii="方正仿宋_GBK"/>
        </w:rPr>
        <w:t>《生态环境部办公厅关于印发〈生态文明建设示范区（市）建设指标〉〈生态文明建设示范区（县）建设指标〉〈生态文明建设示范区管理规程〉〈“绿水青山就是金山银山”实践创新基地建设管理规程〉的通知》</w:t>
      </w:r>
      <w:r>
        <w:rPr>
          <w:rFonts w:hint="eastAsia"/>
        </w:rPr>
        <w:t>（</w:t>
      </w:r>
      <w:r>
        <w:t>环办生态</w:t>
      </w:r>
      <w:r>
        <w:rPr>
          <w:rFonts w:hint="eastAsia"/>
          <w:color w:val="0000FF"/>
        </w:rPr>
        <w:t>〔</w:t>
      </w:r>
      <w:r>
        <w:rPr>
          <w:color w:val="0000FF"/>
        </w:rPr>
        <w:t>2024</w:t>
      </w:r>
      <w:r>
        <w:rPr>
          <w:rFonts w:hint="eastAsia"/>
          <w:color w:val="0000FF"/>
        </w:rPr>
        <w:t>〕</w:t>
      </w:r>
      <w:r>
        <w:rPr>
          <w:rFonts w:hint="eastAsia"/>
        </w:rPr>
        <w:t>4</w:t>
      </w:r>
      <w:r>
        <w:t>号</w:t>
      </w:r>
      <w:r>
        <w:rPr>
          <w:rFonts w:hint="eastAsia"/>
        </w:rPr>
        <w:t>）中《生态文明建设示范区（县）建设指标》为依据，确定建设指标，</w:t>
      </w:r>
      <w:r>
        <w:t>指标情况详见表</w:t>
      </w:r>
      <w:r>
        <w:rPr>
          <w:rFonts w:hint="eastAsia"/>
        </w:rPr>
        <w:t>1</w:t>
      </w:r>
      <w:r>
        <w:t>所示。</w:t>
      </w:r>
    </w:p>
    <w:p>
      <w:pPr>
        <w:adjustRightInd w:val="0"/>
        <w:snapToGrid w:val="0"/>
        <w:spacing w:line="560" w:lineRule="exact"/>
        <w:sectPr>
          <w:footerReference r:id="rId3" w:type="default"/>
          <w:footerReference r:id="rId4" w:type="even"/>
          <w:pgSz w:w="11906" w:h="16838"/>
          <w:pgMar w:top="2098" w:right="1474" w:bottom="1985" w:left="1588" w:header="2098" w:footer="1644" w:gutter="0"/>
          <w:cols w:space="720" w:num="1"/>
          <w:docGrid w:type="linesAndChars" w:linePitch="579" w:charSpace="-849"/>
        </w:sectPr>
      </w:pPr>
    </w:p>
    <w:p>
      <w:pPr>
        <w:spacing w:line="560" w:lineRule="exact"/>
        <w:jc w:val="center"/>
        <w:rPr>
          <w:rFonts w:hint="eastAsia" w:ascii="方正仿宋_GBK"/>
        </w:rPr>
      </w:pPr>
      <w:r>
        <w:rPr>
          <w:rFonts w:hint="eastAsia" w:ascii="方正仿宋_GBK"/>
        </w:rPr>
        <w:t>表</w:t>
      </w:r>
      <w:r>
        <w:t>1</w:t>
      </w:r>
      <w:r>
        <w:rPr>
          <w:rFonts w:hint="eastAsia"/>
        </w:rPr>
        <w:t xml:space="preserve">  </w:t>
      </w:r>
      <w:r>
        <w:rPr>
          <w:rFonts w:hint="eastAsia" w:ascii="方正仿宋_GBK"/>
        </w:rPr>
        <w:t>长白朝鲜族自治县生态文明建设指标体系</w:t>
      </w:r>
    </w:p>
    <w:tbl>
      <w:tblPr>
        <w:tblStyle w:val="3"/>
        <w:tblW w:w="0" w:type="auto"/>
        <w:tblInd w:w="-998" w:type="dxa"/>
        <w:tblLayout w:type="fixed"/>
        <w:tblCellMar>
          <w:top w:w="0" w:type="dxa"/>
          <w:left w:w="108" w:type="dxa"/>
          <w:bottom w:w="0" w:type="dxa"/>
          <w:right w:w="108" w:type="dxa"/>
        </w:tblCellMar>
      </w:tblPr>
      <w:tblGrid>
        <w:gridCol w:w="790"/>
        <w:gridCol w:w="790"/>
        <w:gridCol w:w="790"/>
        <w:gridCol w:w="2844"/>
        <w:gridCol w:w="790"/>
        <w:gridCol w:w="1896"/>
        <w:gridCol w:w="2528"/>
        <w:gridCol w:w="1422"/>
        <w:gridCol w:w="1422"/>
        <w:gridCol w:w="1896"/>
      </w:tblGrid>
      <w:tr>
        <w:tblPrEx>
          <w:tblCellMar>
            <w:top w:w="0" w:type="dxa"/>
            <w:left w:w="108" w:type="dxa"/>
            <w:bottom w:w="0" w:type="dxa"/>
            <w:right w:w="108" w:type="dxa"/>
          </w:tblCellMar>
        </w:tblPrEx>
        <w:trPr>
          <w:trHeight w:val="70" w:hRule="atLeast"/>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4"/>
                <w:szCs w:val="24"/>
              </w:rPr>
            </w:pPr>
            <w:r>
              <w:rPr>
                <w:rFonts w:hint="eastAsia" w:ascii="方正黑体_GBK" w:hAnsi="宋体" w:eastAsia="方正黑体_GBK" w:cs="宋体"/>
                <w:snapToGrid/>
                <w:color w:val="000000"/>
                <w:sz w:val="24"/>
                <w:szCs w:val="24"/>
              </w:rPr>
              <w:t>领域</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4"/>
                <w:szCs w:val="24"/>
              </w:rPr>
            </w:pPr>
            <w:r>
              <w:rPr>
                <w:rFonts w:hint="eastAsia" w:ascii="方正黑体_GBK" w:hAnsi="宋体" w:eastAsia="方正黑体_GBK" w:cs="宋体"/>
                <w:snapToGrid/>
                <w:color w:val="000000"/>
                <w:sz w:val="24"/>
                <w:szCs w:val="24"/>
              </w:rPr>
              <w:t>任务</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4"/>
                <w:szCs w:val="24"/>
              </w:rPr>
            </w:pPr>
            <w:r>
              <w:rPr>
                <w:rFonts w:hint="eastAsia" w:ascii="方正黑体_GBK" w:hAnsi="宋体" w:eastAsia="方正黑体_GBK" w:cs="宋体"/>
                <w:snapToGrid/>
                <w:color w:val="000000"/>
                <w:sz w:val="24"/>
                <w:szCs w:val="24"/>
              </w:rPr>
              <w:t>序号</w:t>
            </w:r>
          </w:p>
        </w:tc>
        <w:tc>
          <w:tcPr>
            <w:tcW w:w="28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4"/>
                <w:szCs w:val="24"/>
              </w:rPr>
            </w:pPr>
            <w:r>
              <w:rPr>
                <w:rFonts w:hint="eastAsia" w:ascii="方正黑体_GBK" w:hAnsi="宋体" w:eastAsia="方正黑体_GBK" w:cs="宋体"/>
                <w:snapToGrid/>
                <w:color w:val="000000"/>
                <w:sz w:val="24"/>
                <w:szCs w:val="24"/>
              </w:rPr>
              <w:t>指标名称</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4"/>
                <w:szCs w:val="24"/>
              </w:rPr>
            </w:pPr>
            <w:r>
              <w:rPr>
                <w:rFonts w:hint="eastAsia" w:ascii="方正黑体_GBK" w:hAnsi="宋体" w:eastAsia="方正黑体_GBK" w:cs="宋体"/>
                <w:snapToGrid/>
                <w:color w:val="000000"/>
                <w:sz w:val="24"/>
                <w:szCs w:val="24"/>
              </w:rPr>
              <w:t>单位</w:t>
            </w:r>
          </w:p>
        </w:tc>
        <w:tc>
          <w:tcPr>
            <w:tcW w:w="189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4"/>
                <w:szCs w:val="24"/>
              </w:rPr>
            </w:pPr>
            <w:r>
              <w:rPr>
                <w:rFonts w:hint="eastAsia" w:ascii="方正黑体_GBK" w:hAnsi="宋体" w:eastAsia="方正黑体_GBK" w:cs="宋体"/>
                <w:snapToGrid/>
                <w:color w:val="000000"/>
                <w:sz w:val="24"/>
                <w:szCs w:val="24"/>
              </w:rPr>
              <w:t>指标值</w:t>
            </w:r>
          </w:p>
        </w:tc>
        <w:tc>
          <w:tcPr>
            <w:tcW w:w="25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4"/>
                <w:szCs w:val="24"/>
              </w:rPr>
            </w:pPr>
            <w:r>
              <w:rPr>
                <w:rFonts w:hint="eastAsia" w:ascii="方正黑体_GBK" w:hAnsi="宋体" w:eastAsia="方正黑体_GBK" w:cs="宋体"/>
                <w:snapToGrid/>
                <w:color w:val="000000"/>
                <w:sz w:val="24"/>
                <w:szCs w:val="24"/>
              </w:rPr>
              <w:t>基准年指标值</w:t>
            </w:r>
            <w:r>
              <w:rPr>
                <w:rFonts w:eastAsia="方正黑体_GBK"/>
                <w:snapToGrid/>
                <w:color w:val="000000"/>
                <w:sz w:val="24"/>
                <w:szCs w:val="24"/>
              </w:rPr>
              <w:t>2023</w:t>
            </w:r>
            <w:r>
              <w:rPr>
                <w:rFonts w:ascii="方正黑体_GBK" w:hAnsi="宋体" w:eastAsia="方正黑体_GBK" w:cs="宋体"/>
                <w:snapToGrid/>
                <w:color w:val="000000"/>
                <w:sz w:val="24"/>
                <w:szCs w:val="24"/>
              </w:rPr>
              <w:t>年</w:t>
            </w:r>
          </w:p>
        </w:tc>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4"/>
                <w:szCs w:val="24"/>
              </w:rPr>
            </w:pPr>
            <w:r>
              <w:rPr>
                <w:rFonts w:hint="eastAsia" w:ascii="方正黑体_GBK" w:hAnsi="宋体" w:eastAsia="方正黑体_GBK" w:cs="宋体"/>
                <w:snapToGrid/>
                <w:color w:val="000000"/>
                <w:sz w:val="24"/>
                <w:szCs w:val="24"/>
              </w:rPr>
              <w:t>规划年目标值</w:t>
            </w:r>
          </w:p>
        </w:tc>
        <w:tc>
          <w:tcPr>
            <w:tcW w:w="189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4"/>
                <w:szCs w:val="24"/>
              </w:rPr>
            </w:pPr>
            <w:r>
              <w:rPr>
                <w:rFonts w:hint="eastAsia" w:ascii="方正黑体_GBK" w:hAnsi="宋体" w:eastAsia="方正黑体_GBK" w:cs="宋体"/>
                <w:snapToGrid/>
                <w:color w:val="000000"/>
                <w:sz w:val="24"/>
                <w:szCs w:val="24"/>
              </w:rPr>
              <w:t>基准年达标情况</w:t>
            </w:r>
          </w:p>
        </w:tc>
      </w:tr>
      <w:tr>
        <w:tblPrEx>
          <w:tblCellMar>
            <w:top w:w="0" w:type="dxa"/>
            <w:left w:w="108" w:type="dxa"/>
            <w:bottom w:w="0" w:type="dxa"/>
            <w:right w:w="108" w:type="dxa"/>
          </w:tblCellMar>
        </w:tblPrEx>
        <w:trPr>
          <w:trHeight w:val="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4"/>
                <w:szCs w:val="24"/>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4"/>
                <w:szCs w:val="24"/>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4"/>
                <w:szCs w:val="24"/>
              </w:rPr>
            </w:pPr>
          </w:p>
        </w:tc>
        <w:tc>
          <w:tcPr>
            <w:tcW w:w="28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4"/>
                <w:szCs w:val="24"/>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4"/>
                <w:szCs w:val="24"/>
              </w:rPr>
            </w:pPr>
          </w:p>
        </w:tc>
        <w:tc>
          <w:tcPr>
            <w:tcW w:w="1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4"/>
                <w:szCs w:val="24"/>
              </w:rPr>
            </w:pPr>
          </w:p>
        </w:tc>
        <w:tc>
          <w:tcPr>
            <w:tcW w:w="2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4"/>
                <w:szCs w:val="24"/>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4"/>
                <w:szCs w:val="24"/>
              </w:rPr>
            </w:pPr>
            <w:r>
              <w:rPr>
                <w:rFonts w:eastAsia="宋体"/>
                <w:snapToGrid/>
                <w:color w:val="000000"/>
                <w:sz w:val="24"/>
                <w:szCs w:val="24"/>
              </w:rPr>
              <w:t>2025</w:t>
            </w:r>
            <w:r>
              <w:rPr>
                <w:rFonts w:ascii="方正黑体_GBK" w:eastAsia="方正黑体_GBK"/>
                <w:snapToGrid/>
                <w:color w:val="000000"/>
                <w:sz w:val="24"/>
                <w:szCs w:val="24"/>
              </w:rPr>
              <w:t>年</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4"/>
                <w:szCs w:val="24"/>
              </w:rPr>
            </w:pPr>
            <w:r>
              <w:rPr>
                <w:rFonts w:eastAsia="宋体"/>
                <w:snapToGrid/>
                <w:color w:val="000000"/>
                <w:sz w:val="24"/>
                <w:szCs w:val="24"/>
              </w:rPr>
              <w:t>2030</w:t>
            </w:r>
            <w:r>
              <w:rPr>
                <w:rFonts w:ascii="方正黑体_GBK" w:eastAsia="方正黑体_GBK"/>
                <w:snapToGrid/>
                <w:color w:val="000000"/>
                <w:sz w:val="24"/>
                <w:szCs w:val="24"/>
              </w:rPr>
              <w:t>年</w:t>
            </w:r>
          </w:p>
        </w:tc>
        <w:tc>
          <w:tcPr>
            <w:tcW w:w="1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4"/>
                <w:szCs w:val="24"/>
              </w:rPr>
            </w:pPr>
          </w:p>
        </w:tc>
      </w:tr>
      <w:tr>
        <w:tblPrEx>
          <w:tblCellMar>
            <w:top w:w="0" w:type="dxa"/>
            <w:left w:w="108" w:type="dxa"/>
            <w:bottom w:w="0" w:type="dxa"/>
            <w:right w:w="108" w:type="dxa"/>
          </w:tblCellMar>
        </w:tblPrEx>
        <w:trPr>
          <w:trHeight w:val="105" w:hRule="atLeast"/>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目标责任</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（一）目标责任落实</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生态文明建设工作占党政实绩考核的比例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w:t>
            </w:r>
            <w:r>
              <w:rPr>
                <w:snapToGrid/>
                <w:color w:val="000000"/>
                <w:sz w:val="21"/>
                <w:szCs w:val="21"/>
              </w:rPr>
              <w:t>20</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21.2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23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25</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党政领导干部生态环境损害责任追究制度</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建立</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有效开展</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有效开展</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有效开展</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3</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领导干部自然资源资产离任审计</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开展</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有效开展</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有效开展</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有效开展</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70" w:hRule="atLeast"/>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生态安全</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（二）环境质量改善</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4</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PM</w:t>
            </w:r>
            <w:r>
              <w:rPr>
                <w:rFonts w:eastAsia="宋体"/>
                <w:snapToGrid/>
                <w:color w:val="000000"/>
                <w:sz w:val="21"/>
                <w:szCs w:val="21"/>
                <w:vertAlign w:val="subscript"/>
              </w:rPr>
              <w:t>2.5</w:t>
            </w:r>
            <w:r>
              <w:rPr>
                <w:rFonts w:ascii="方正仿宋_GBK"/>
                <w:snapToGrid/>
                <w:color w:val="000000"/>
                <w:sz w:val="21"/>
                <w:szCs w:val="21"/>
              </w:rPr>
              <w:t>浓度</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完成上级规定的考核任务，且保持稳定或持续下降</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下降幅度</w:t>
            </w:r>
            <w:r>
              <w:rPr>
                <w:snapToGrid/>
                <w:color w:val="000000"/>
                <w:sz w:val="21"/>
                <w:szCs w:val="21"/>
              </w:rPr>
              <w:t>0.69%</w:t>
            </w:r>
            <w:r>
              <w:rPr>
                <w:rFonts w:ascii="方正仿宋_GBK" w:hAnsi="宋体" w:cs="宋体"/>
                <w:snapToGrid/>
                <w:color w:val="000000"/>
                <w:sz w:val="21"/>
                <w:szCs w:val="21"/>
              </w:rPr>
              <w:t>；连续三年持续下降</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完成上级规定的考核任务，保持稳定</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完成上级规定的考核任务，保持稳定</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5</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水环境质量</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r>
      <w:tr>
        <w:tblPrEx>
          <w:tblCellMar>
            <w:top w:w="0" w:type="dxa"/>
            <w:left w:w="108" w:type="dxa"/>
            <w:bottom w:w="0" w:type="dxa"/>
            <w:right w:w="108" w:type="dxa"/>
          </w:tblCellMar>
        </w:tblPrEx>
        <w:trPr>
          <w:trHeight w:val="544"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地表水达到或好于Ⅲ类比例</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完成上级规定的考核任务，且保持稳定或持续提高</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地表水：（长白地表水水质达到Ⅱ类），保持稳定</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完成上级规定的考核任务且保持稳定</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完成上级规定的考核任务且保持稳定</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县城污水处理率</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w:t>
            </w:r>
            <w:r>
              <w:rPr>
                <w:snapToGrid/>
                <w:color w:val="000000"/>
                <w:sz w:val="21"/>
                <w:szCs w:val="21"/>
              </w:rPr>
              <w:t>95</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97.04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100</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100</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217"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县级城市建成区黑臭水体消除率</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100</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100</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100</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100</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较大面积农村黑臭水体整治率</w:t>
            </w:r>
            <w:r>
              <w:rPr>
                <w:snapToGrid/>
                <w:color w:val="000000"/>
                <w:sz w:val="21"/>
                <w:szCs w:val="21"/>
              </w:rPr>
              <w:t>*</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100</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不涉及</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不涉及</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不涉及</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356"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（三）生态质量提升</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6</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区域生态保护监管</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r>
      <w:tr>
        <w:tblPrEx>
          <w:tblCellMar>
            <w:top w:w="0" w:type="dxa"/>
            <w:left w:w="108" w:type="dxa"/>
            <w:bottom w:w="0" w:type="dxa"/>
            <w:right w:w="108" w:type="dxa"/>
          </w:tblCellMar>
        </w:tblPrEx>
        <w:trPr>
          <w:trHeight w:val="142"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生态质量指数（</w:t>
            </w:r>
            <w:r>
              <w:rPr>
                <w:snapToGrid/>
                <w:color w:val="000000"/>
                <w:sz w:val="21"/>
                <w:szCs w:val="21"/>
              </w:rPr>
              <w:t>EQI</w:t>
            </w:r>
            <w:r>
              <w:rPr>
                <w:rFonts w:ascii="方正仿宋_GBK" w:hAnsi="宋体" w:cs="宋体"/>
                <w:snapToGrid/>
                <w:color w:val="000000"/>
                <w:sz w:val="21"/>
                <w:szCs w:val="21"/>
              </w:rPr>
              <w:t>）</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w:t>
            </w:r>
            <w:r>
              <w:rPr>
                <w:snapToGrid/>
                <w:color w:val="000000"/>
                <w:sz w:val="21"/>
                <w:szCs w:val="21"/>
              </w:rPr>
              <w:t>EQI</w:t>
            </w:r>
            <w:r>
              <w:rPr>
                <w:rFonts w:ascii="方正仿宋_GBK" w:hAnsi="宋体" w:cs="宋体"/>
                <w:snapToGrid/>
                <w:color w:val="000000"/>
                <w:sz w:val="21"/>
                <w:szCs w:val="21"/>
              </w:rPr>
              <w:t>＞</w:t>
            </w:r>
            <w:r>
              <w:rPr>
                <w:snapToGrid/>
                <w:color w:val="000000"/>
                <w:sz w:val="21"/>
                <w:szCs w:val="21"/>
              </w:rPr>
              <w:t>-1</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w:t>
            </w:r>
            <w:r>
              <w:rPr>
                <w:snapToGrid/>
                <w:color w:val="000000"/>
                <w:sz w:val="21"/>
                <w:szCs w:val="21"/>
              </w:rPr>
              <w:t>EQI=-0.02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w:t>
            </w:r>
            <w:r>
              <w:rPr>
                <w:snapToGrid/>
                <w:color w:val="000000"/>
                <w:sz w:val="21"/>
                <w:szCs w:val="21"/>
              </w:rPr>
              <w:t>EQI</w:t>
            </w:r>
            <w:r>
              <w:rPr>
                <w:rFonts w:ascii="方正仿宋_GBK" w:hAnsi="宋体" w:cs="宋体"/>
                <w:snapToGrid/>
                <w:color w:val="000000"/>
                <w:sz w:val="21"/>
                <w:szCs w:val="21"/>
              </w:rPr>
              <w:t>＞</w:t>
            </w:r>
            <w:r>
              <w:rPr>
                <w:snapToGrid/>
                <w:color w:val="000000"/>
                <w:sz w:val="21"/>
                <w:szCs w:val="21"/>
              </w:rPr>
              <w:t>-1</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w:t>
            </w:r>
            <w:r>
              <w:rPr>
                <w:snapToGrid/>
                <w:color w:val="000000"/>
                <w:sz w:val="21"/>
                <w:szCs w:val="21"/>
              </w:rPr>
              <w:t>EQI</w:t>
            </w:r>
            <w:r>
              <w:rPr>
                <w:rFonts w:ascii="方正仿宋_GBK" w:hAnsi="宋体" w:cs="宋体"/>
                <w:snapToGrid/>
                <w:color w:val="000000"/>
                <w:sz w:val="21"/>
                <w:szCs w:val="21"/>
              </w:rPr>
              <w:t>＞</w:t>
            </w:r>
            <w:r>
              <w:rPr>
                <w:snapToGrid/>
                <w:color w:val="000000"/>
                <w:sz w:val="21"/>
                <w:szCs w:val="21"/>
              </w:rPr>
              <w:t>-1</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自然保护地和生态保护红线生态环境重点问题整改率</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100</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100</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100</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100</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生物多样性调查</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开展</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开展</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保持</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保持</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205"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7</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生态系统保护修复</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p>
        </w:tc>
      </w:tr>
      <w:tr>
        <w:tblPrEx>
          <w:tblCellMar>
            <w:top w:w="0" w:type="dxa"/>
            <w:left w:w="108" w:type="dxa"/>
            <w:bottom w:w="0" w:type="dxa"/>
            <w:right w:w="108" w:type="dxa"/>
          </w:tblCellMar>
        </w:tblPrEx>
        <w:trPr>
          <w:trHeight w:val="271"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森林覆盖率</w:t>
            </w:r>
            <w:r>
              <w:rPr>
                <w:snapToGrid/>
                <w:color w:val="000000"/>
                <w:sz w:val="21"/>
                <w:szCs w:val="21"/>
              </w:rPr>
              <w:t>*</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保持稳定或持续改善</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91.97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保持稳定或持续改善</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保持稳定或持续改善</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草原综合植被盖度</w:t>
            </w:r>
            <w:r>
              <w:rPr>
                <w:snapToGrid/>
                <w:color w:val="000000"/>
                <w:sz w:val="21"/>
                <w:szCs w:val="21"/>
              </w:rPr>
              <w:t>*</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宋体"/>
                <w:snapToGrid/>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保持稳定或持续改善</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2022</w:t>
            </w:r>
            <w:r>
              <w:rPr>
                <w:rFonts w:ascii="方正仿宋_GBK"/>
                <w:snapToGrid/>
                <w:color w:val="000000"/>
                <w:sz w:val="21"/>
                <w:szCs w:val="21"/>
              </w:rPr>
              <w:t>年</w:t>
            </w:r>
            <w:r>
              <w:rPr>
                <w:rFonts w:eastAsia="宋体"/>
                <w:snapToGrid/>
                <w:color w:val="000000"/>
                <w:sz w:val="21"/>
                <w:szCs w:val="21"/>
              </w:rPr>
              <w:t>88.6%</w:t>
            </w:r>
            <w:r>
              <w:rPr>
                <w:rFonts w:ascii="方正仿宋_GBK"/>
                <w:snapToGrid/>
                <w:color w:val="000000"/>
                <w:sz w:val="21"/>
                <w:szCs w:val="21"/>
              </w:rPr>
              <w:t>；</w:t>
            </w:r>
            <w:r>
              <w:rPr>
                <w:rFonts w:eastAsia="宋体"/>
                <w:snapToGrid/>
                <w:color w:val="000000"/>
                <w:sz w:val="21"/>
                <w:szCs w:val="21"/>
              </w:rPr>
              <w:t>2023</w:t>
            </w:r>
            <w:r>
              <w:rPr>
                <w:rFonts w:ascii="方正仿宋_GBK"/>
                <w:snapToGrid/>
                <w:color w:val="000000"/>
                <w:sz w:val="21"/>
                <w:szCs w:val="21"/>
              </w:rPr>
              <w:t>年尚未公开</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保持稳定或持续改善</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保持稳定或持续改善</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r>
      <w:tr>
        <w:tblPrEx>
          <w:tblCellMar>
            <w:top w:w="0" w:type="dxa"/>
            <w:left w:w="108" w:type="dxa"/>
            <w:bottom w:w="0" w:type="dxa"/>
            <w:right w:w="108" w:type="dxa"/>
          </w:tblCellMar>
        </w:tblPrEx>
        <w:trPr>
          <w:trHeight w:val="70" w:hRule="atLeast"/>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领域</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任务</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序号</w:t>
            </w:r>
          </w:p>
        </w:tc>
        <w:tc>
          <w:tcPr>
            <w:tcW w:w="28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指标名称</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单位</w:t>
            </w:r>
          </w:p>
        </w:tc>
        <w:tc>
          <w:tcPr>
            <w:tcW w:w="189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指标值</w:t>
            </w:r>
          </w:p>
        </w:tc>
        <w:tc>
          <w:tcPr>
            <w:tcW w:w="25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基准年指标值</w:t>
            </w:r>
            <w:r>
              <w:rPr>
                <w:rFonts w:eastAsia="方正黑体_GBK"/>
                <w:snapToGrid/>
                <w:color w:val="000000"/>
                <w:sz w:val="21"/>
                <w:szCs w:val="21"/>
              </w:rPr>
              <w:t>2023</w:t>
            </w:r>
            <w:r>
              <w:rPr>
                <w:rFonts w:ascii="方正黑体_GBK" w:hAnsi="宋体" w:eastAsia="方正黑体_GBK" w:cs="宋体"/>
                <w:snapToGrid/>
                <w:color w:val="000000"/>
                <w:sz w:val="21"/>
                <w:szCs w:val="21"/>
              </w:rPr>
              <w:t>年</w:t>
            </w:r>
          </w:p>
        </w:tc>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规划年目标值</w:t>
            </w:r>
          </w:p>
        </w:tc>
        <w:tc>
          <w:tcPr>
            <w:tcW w:w="189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基准年达标情况</w:t>
            </w:r>
          </w:p>
        </w:tc>
      </w:tr>
      <w:tr>
        <w:tblPrEx>
          <w:tblCellMar>
            <w:top w:w="0" w:type="dxa"/>
            <w:left w:w="108" w:type="dxa"/>
            <w:bottom w:w="0" w:type="dxa"/>
            <w:right w:w="108" w:type="dxa"/>
          </w:tblCellMar>
        </w:tblPrEx>
        <w:trPr>
          <w:trHeight w:val="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p>
        </w:tc>
        <w:tc>
          <w:tcPr>
            <w:tcW w:w="28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p>
        </w:tc>
        <w:tc>
          <w:tcPr>
            <w:tcW w:w="1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p>
        </w:tc>
        <w:tc>
          <w:tcPr>
            <w:tcW w:w="2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2025</w:t>
            </w:r>
            <w:r>
              <w:rPr>
                <w:rFonts w:ascii="方正黑体_GBK" w:eastAsia="方正黑体_GBK"/>
                <w:snapToGrid/>
                <w:color w:val="000000"/>
                <w:sz w:val="21"/>
                <w:szCs w:val="21"/>
              </w:rPr>
              <w:t>年</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2030</w:t>
            </w:r>
            <w:r>
              <w:rPr>
                <w:rFonts w:ascii="方正黑体_GBK" w:eastAsia="方正黑体_GBK"/>
                <w:snapToGrid/>
                <w:color w:val="000000"/>
                <w:sz w:val="21"/>
                <w:szCs w:val="21"/>
              </w:rPr>
              <w:t>年</w:t>
            </w:r>
          </w:p>
        </w:tc>
        <w:tc>
          <w:tcPr>
            <w:tcW w:w="1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p>
        </w:tc>
      </w:tr>
      <w:tr>
        <w:tblPrEx>
          <w:tblCellMar>
            <w:top w:w="0" w:type="dxa"/>
            <w:left w:w="108" w:type="dxa"/>
            <w:bottom w:w="0" w:type="dxa"/>
            <w:right w:w="108" w:type="dxa"/>
          </w:tblCellMar>
        </w:tblPrEx>
        <w:trPr>
          <w:trHeight w:val="936" w:hRule="atLeast"/>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生态安全</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（四）生态环境风险防范</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color w:val="000000"/>
                <w:sz w:val="21"/>
                <w:szCs w:val="21"/>
              </w:rPr>
            </w:pPr>
            <w:r>
              <w:rPr>
                <w:color w:val="000000"/>
                <w:sz w:val="21"/>
                <w:szCs w:val="21"/>
              </w:rPr>
              <w:t>8</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受污染耕地安全利用率</w:t>
            </w:r>
            <w:r>
              <w:rPr>
                <w:rStyle w:val="6"/>
              </w:rPr>
              <w:t>*</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color w:val="000000"/>
                <w:sz w:val="21"/>
                <w:szCs w:val="21"/>
              </w:rPr>
            </w:pPr>
            <w:r>
              <w:rPr>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w:t>
            </w:r>
            <w:r>
              <w:rPr>
                <w:rStyle w:val="7"/>
                <w:color w:val="auto"/>
                <w:sz w:val="21"/>
                <w:szCs w:val="21"/>
              </w:rPr>
              <w:t>93</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无受污染耕地</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保持无受污染耕地或受污染耕地安全利用率≥</w:t>
            </w:r>
            <w:r>
              <w:rPr>
                <w:rStyle w:val="7"/>
                <w:color w:val="auto"/>
                <w:sz w:val="21"/>
                <w:szCs w:val="21"/>
              </w:rPr>
              <w:t>95%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保持无受污染耕地或受污染耕地安全利用率≥</w:t>
            </w:r>
            <w:r>
              <w:rPr>
                <w:rStyle w:val="7"/>
                <w:color w:val="auto"/>
                <w:sz w:val="21"/>
                <w:szCs w:val="21"/>
              </w:rPr>
              <w:t>100%</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达标</w:t>
            </w:r>
          </w:p>
        </w:tc>
      </w:tr>
      <w:tr>
        <w:tblPrEx>
          <w:tblCellMar>
            <w:top w:w="0" w:type="dxa"/>
            <w:left w:w="108" w:type="dxa"/>
            <w:bottom w:w="0" w:type="dxa"/>
            <w:right w:w="108" w:type="dxa"/>
          </w:tblCellMar>
        </w:tblPrEx>
        <w:trPr>
          <w:trHeight w:val="234"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color w:val="000000"/>
                <w:sz w:val="2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color w:val="000000"/>
                <w:sz w:val="21"/>
                <w:szCs w:val="21"/>
              </w:rPr>
            </w:pPr>
            <w:r>
              <w:rPr>
                <w:color w:val="000000"/>
                <w:sz w:val="21"/>
                <w:szCs w:val="21"/>
              </w:rPr>
              <w:t>9</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重点建设用地安全利用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color w:val="000000"/>
                <w:sz w:val="21"/>
                <w:szCs w:val="21"/>
              </w:rPr>
            </w:pPr>
            <w:r>
              <w:rPr>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有效保障</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21"/>
                <w:szCs w:val="21"/>
              </w:rPr>
            </w:pPr>
            <w:r>
              <w:rPr>
                <w:sz w:val="21"/>
                <w:szCs w:val="21"/>
              </w:rPr>
              <w:t>100%</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有效保障</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有效保障</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达标</w:t>
            </w:r>
          </w:p>
        </w:tc>
      </w:tr>
      <w:tr>
        <w:tblPrEx>
          <w:tblCellMar>
            <w:top w:w="0" w:type="dxa"/>
            <w:left w:w="108" w:type="dxa"/>
            <w:bottom w:w="0" w:type="dxa"/>
            <w:right w:w="108" w:type="dxa"/>
          </w:tblCellMar>
        </w:tblPrEx>
        <w:trPr>
          <w:trHeight w:val="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color w:val="000000"/>
                <w:sz w:val="2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color w:val="000000"/>
                <w:sz w:val="21"/>
                <w:szCs w:val="21"/>
              </w:rPr>
            </w:pPr>
            <w:r>
              <w:rPr>
                <w:color w:val="000000"/>
                <w:sz w:val="21"/>
                <w:szCs w:val="21"/>
              </w:rPr>
              <w:t>10</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外来物种入侵防控</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color w:val="000000"/>
                <w:sz w:val="21"/>
                <w:szCs w:val="21"/>
              </w:rPr>
            </w:pPr>
            <w:r>
              <w:rPr>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有效开展</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有效开展</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有效开展</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有效开展</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达标</w:t>
            </w:r>
          </w:p>
        </w:tc>
      </w:tr>
      <w:tr>
        <w:tblPrEx>
          <w:tblCellMar>
            <w:top w:w="0" w:type="dxa"/>
            <w:left w:w="108" w:type="dxa"/>
            <w:bottom w:w="0" w:type="dxa"/>
            <w:right w:w="108" w:type="dxa"/>
          </w:tblCellMar>
        </w:tblPrEx>
        <w:trPr>
          <w:trHeight w:val="96"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color w:val="000000"/>
                <w:sz w:val="2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color w:val="000000"/>
                <w:sz w:val="21"/>
                <w:szCs w:val="21"/>
              </w:rPr>
            </w:pPr>
            <w:r>
              <w:rPr>
                <w:color w:val="000000"/>
                <w:sz w:val="21"/>
                <w:szCs w:val="21"/>
              </w:rPr>
              <w:t>11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突发环境事件应急管理机制</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color w:val="000000"/>
                <w:sz w:val="21"/>
                <w:szCs w:val="21"/>
              </w:rPr>
            </w:pPr>
            <w:r>
              <w:rPr>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建立</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建立</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建立</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建立</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s="宋体"/>
                <w:sz w:val="21"/>
                <w:szCs w:val="21"/>
              </w:rPr>
            </w:pPr>
            <w:r>
              <w:rPr>
                <w:rFonts w:hint="eastAsia"/>
                <w:sz w:val="21"/>
                <w:szCs w:val="21"/>
              </w:rPr>
              <w:t>达标</w:t>
            </w:r>
          </w:p>
        </w:tc>
      </w:tr>
      <w:tr>
        <w:tblPrEx>
          <w:tblCellMar>
            <w:top w:w="0" w:type="dxa"/>
            <w:left w:w="108" w:type="dxa"/>
            <w:bottom w:w="0" w:type="dxa"/>
            <w:right w:w="108" w:type="dxa"/>
          </w:tblCellMar>
        </w:tblPrEx>
        <w:trPr>
          <w:trHeight w:val="1195" w:hRule="atLeast"/>
        </w:trPr>
        <w:tc>
          <w:tcPr>
            <w:tcW w:w="790" w:type="dxa"/>
            <w:vMerge w:val="restart"/>
            <w:tcBorders>
              <w:top w:val="nil"/>
              <w:left w:val="single" w:color="000000" w:sz="8" w:space="0"/>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生态经济</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（五）节能减排降碳增效</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12</w:t>
            </w:r>
          </w:p>
        </w:tc>
        <w:tc>
          <w:tcPr>
            <w:tcW w:w="2844"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新增和更新公共汽电车中新能源和清洁能源车辆比例</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w:t>
            </w:r>
            <w:r>
              <w:rPr>
                <w:rStyle w:val="7"/>
                <w:color w:val="auto"/>
                <w:sz w:val="21"/>
                <w:szCs w:val="21"/>
              </w:rPr>
              <w:t>80</w:t>
            </w:r>
          </w:p>
        </w:tc>
        <w:tc>
          <w:tcPr>
            <w:tcW w:w="2528" w:type="dxa"/>
            <w:tcBorders>
              <w:top w:val="nil"/>
              <w:left w:val="nil"/>
              <w:bottom w:val="single" w:color="000000" w:sz="8" w:space="0"/>
              <w:right w:val="single" w:color="000000" w:sz="8" w:space="0"/>
            </w:tcBorders>
            <w:noWrap w:val="0"/>
            <w:vAlign w:val="center"/>
          </w:tcPr>
          <w:p>
            <w:pPr>
              <w:spacing w:line="240" w:lineRule="exact"/>
              <w:jc w:val="center"/>
              <w:rPr>
                <w:sz w:val="21"/>
                <w:szCs w:val="21"/>
              </w:rPr>
            </w:pPr>
            <w:r>
              <w:rPr>
                <w:sz w:val="21"/>
                <w:szCs w:val="21"/>
              </w:rPr>
              <w:t>100%</w:t>
            </w:r>
          </w:p>
        </w:tc>
        <w:tc>
          <w:tcPr>
            <w:tcW w:w="1422" w:type="dxa"/>
            <w:tcBorders>
              <w:top w:val="nil"/>
              <w:left w:val="nil"/>
              <w:bottom w:val="single" w:color="auto" w:sz="4" w:space="0"/>
              <w:right w:val="single" w:color="000000" w:sz="8" w:space="0"/>
            </w:tcBorders>
            <w:noWrap w:val="0"/>
            <w:vAlign w:val="center"/>
          </w:tcPr>
          <w:p>
            <w:pPr>
              <w:jc w:val="center"/>
              <w:rPr>
                <w:rFonts w:ascii="宋体" w:hAnsi="宋体" w:cs="宋体"/>
                <w:sz w:val="21"/>
                <w:szCs w:val="21"/>
              </w:rPr>
            </w:pPr>
            <w:r>
              <w:rPr>
                <w:rFonts w:hint="eastAsia"/>
                <w:sz w:val="21"/>
                <w:szCs w:val="21"/>
              </w:rPr>
              <w:t>保持达标</w:t>
            </w:r>
          </w:p>
        </w:tc>
        <w:tc>
          <w:tcPr>
            <w:tcW w:w="1422" w:type="dxa"/>
            <w:tcBorders>
              <w:top w:val="nil"/>
              <w:left w:val="nil"/>
              <w:bottom w:val="single" w:color="auto" w:sz="4" w:space="0"/>
              <w:right w:val="single" w:color="000000" w:sz="8" w:space="0"/>
            </w:tcBorders>
            <w:noWrap w:val="0"/>
            <w:vAlign w:val="center"/>
          </w:tcPr>
          <w:p>
            <w:pPr>
              <w:jc w:val="center"/>
              <w:rPr>
                <w:rFonts w:ascii="宋体" w:hAnsi="宋体" w:cs="宋体"/>
                <w:sz w:val="21"/>
                <w:szCs w:val="21"/>
              </w:rPr>
            </w:pPr>
            <w:r>
              <w:rPr>
                <w:rFonts w:hint="eastAsia"/>
                <w:sz w:val="21"/>
                <w:szCs w:val="21"/>
              </w:rPr>
              <w:t>保持达标</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达标</w:t>
            </w:r>
          </w:p>
        </w:tc>
      </w:tr>
      <w:tr>
        <w:tblPrEx>
          <w:tblCellMar>
            <w:top w:w="0" w:type="dxa"/>
            <w:left w:w="108" w:type="dxa"/>
            <w:bottom w:w="0" w:type="dxa"/>
            <w:right w:w="108" w:type="dxa"/>
          </w:tblCellMar>
        </w:tblPrEx>
        <w:trPr>
          <w:trHeight w:val="348" w:hRule="atLeast"/>
        </w:trPr>
        <w:tc>
          <w:tcPr>
            <w:tcW w:w="790" w:type="dxa"/>
            <w:vMerge w:val="continue"/>
            <w:tcBorders>
              <w:top w:val="nil"/>
              <w:left w:val="single" w:color="000000" w:sz="8" w:space="0"/>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p>
        </w:tc>
        <w:tc>
          <w:tcPr>
            <w:tcW w:w="790" w:type="dxa"/>
            <w:vMerge w:val="restart"/>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（六）资源节约集约</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13</w:t>
            </w:r>
          </w:p>
        </w:tc>
        <w:tc>
          <w:tcPr>
            <w:tcW w:w="2844"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万元工业增加值用水量下降率</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完成上级规定的考核任务</w:t>
            </w:r>
          </w:p>
        </w:tc>
        <w:tc>
          <w:tcPr>
            <w:tcW w:w="2528"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万元工业增加值用水量下降</w:t>
            </w:r>
            <w:r>
              <w:rPr>
                <w:rStyle w:val="6"/>
                <w:color w:val="auto"/>
              </w:rPr>
              <w:t>19.68%</w:t>
            </w:r>
            <w:r>
              <w:rPr>
                <w:rStyle w:val="8"/>
                <w:rFonts w:hint="default"/>
                <w:color w:val="auto"/>
                <w:sz w:val="21"/>
                <w:szCs w:val="21"/>
              </w:rPr>
              <w:t>；</w:t>
            </w:r>
            <w:r>
              <w:rPr>
                <w:rStyle w:val="8"/>
                <w:rFonts w:hint="default" w:ascii="方正仿宋_GBK" w:eastAsia="方正仿宋_GBK"/>
                <w:color w:val="auto"/>
                <w:sz w:val="21"/>
                <w:szCs w:val="21"/>
              </w:rPr>
              <w:t>完成上级规定的考核任务</w:t>
            </w:r>
          </w:p>
        </w:tc>
        <w:tc>
          <w:tcPr>
            <w:tcW w:w="1422" w:type="dxa"/>
            <w:tcBorders>
              <w:top w:val="single" w:color="auto" w:sz="4" w:space="0"/>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完成上级规定的考核任务</w:t>
            </w:r>
          </w:p>
        </w:tc>
        <w:tc>
          <w:tcPr>
            <w:tcW w:w="1422" w:type="dxa"/>
            <w:tcBorders>
              <w:top w:val="single" w:color="auto" w:sz="4" w:space="0"/>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完成上级规定的考核任务</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达标</w:t>
            </w:r>
          </w:p>
        </w:tc>
      </w:tr>
      <w:tr>
        <w:tblPrEx>
          <w:tblCellMar>
            <w:top w:w="0" w:type="dxa"/>
            <w:left w:w="108" w:type="dxa"/>
            <w:bottom w:w="0" w:type="dxa"/>
            <w:right w:w="108" w:type="dxa"/>
          </w:tblCellMar>
        </w:tblPrEx>
        <w:trPr>
          <w:trHeight w:val="60" w:hRule="atLeast"/>
        </w:trPr>
        <w:tc>
          <w:tcPr>
            <w:tcW w:w="790" w:type="dxa"/>
            <w:vMerge w:val="continue"/>
            <w:tcBorders>
              <w:top w:val="nil"/>
              <w:left w:val="single" w:color="000000" w:sz="8" w:space="0"/>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p>
        </w:tc>
        <w:tc>
          <w:tcPr>
            <w:tcW w:w="790" w:type="dxa"/>
            <w:vMerge w:val="continue"/>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14</w:t>
            </w:r>
          </w:p>
        </w:tc>
        <w:tc>
          <w:tcPr>
            <w:tcW w:w="2844"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农田灌溉水有效利用系数</w:t>
            </w:r>
            <w:r>
              <w:rPr>
                <w:rStyle w:val="6"/>
              </w:rPr>
              <w:t>*</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完成上级规定的考核任务</w:t>
            </w:r>
          </w:p>
        </w:tc>
        <w:tc>
          <w:tcPr>
            <w:tcW w:w="2528"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长白县无实验田，不涉及该指标</w:t>
            </w:r>
          </w:p>
        </w:tc>
        <w:tc>
          <w:tcPr>
            <w:tcW w:w="1422"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完成上级规定的考核任务</w:t>
            </w:r>
          </w:p>
        </w:tc>
        <w:tc>
          <w:tcPr>
            <w:tcW w:w="1422"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完成上级规定的考核任务</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达标</w:t>
            </w:r>
          </w:p>
        </w:tc>
      </w:tr>
      <w:tr>
        <w:tblPrEx>
          <w:tblCellMar>
            <w:top w:w="0" w:type="dxa"/>
            <w:left w:w="108" w:type="dxa"/>
            <w:bottom w:w="0" w:type="dxa"/>
            <w:right w:w="108" w:type="dxa"/>
          </w:tblCellMar>
        </w:tblPrEx>
        <w:trPr>
          <w:trHeight w:val="60" w:hRule="atLeast"/>
        </w:trPr>
        <w:tc>
          <w:tcPr>
            <w:tcW w:w="790" w:type="dxa"/>
            <w:vMerge w:val="continue"/>
            <w:tcBorders>
              <w:top w:val="nil"/>
              <w:left w:val="single" w:color="000000" w:sz="8" w:space="0"/>
              <w:bottom w:val="single" w:color="000000" w:sz="8" w:space="0"/>
              <w:right w:val="single" w:color="000000" w:sz="8" w:space="0"/>
            </w:tcBorders>
            <w:noWrap w:val="0"/>
            <w:vAlign w:val="center"/>
          </w:tcPr>
          <w:p>
            <w:pPr>
              <w:jc w:val="center"/>
              <w:rPr>
                <w:rFonts w:ascii="宋体" w:hAnsi="宋体" w:cs="宋体"/>
                <w:color w:val="000000"/>
                <w:sz w:val="21"/>
                <w:szCs w:val="21"/>
              </w:rPr>
            </w:pPr>
          </w:p>
        </w:tc>
        <w:tc>
          <w:tcPr>
            <w:tcW w:w="790" w:type="dxa"/>
            <w:vMerge w:val="continue"/>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15</w:t>
            </w:r>
          </w:p>
        </w:tc>
        <w:tc>
          <w:tcPr>
            <w:tcW w:w="2844"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农膜回收率</w:t>
            </w:r>
            <w:r>
              <w:rPr>
                <w:rStyle w:val="6"/>
              </w:rPr>
              <w:t>*</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w:t>
            </w:r>
            <w:r>
              <w:rPr>
                <w:rStyle w:val="6"/>
                <w:color w:val="auto"/>
              </w:rPr>
              <w:t>85</w:t>
            </w:r>
          </w:p>
        </w:tc>
        <w:tc>
          <w:tcPr>
            <w:tcW w:w="2528" w:type="dxa"/>
            <w:tcBorders>
              <w:top w:val="nil"/>
              <w:left w:val="nil"/>
              <w:bottom w:val="single" w:color="000000" w:sz="8" w:space="0"/>
              <w:right w:val="single" w:color="000000" w:sz="8" w:space="0"/>
            </w:tcBorders>
            <w:noWrap w:val="0"/>
            <w:vAlign w:val="center"/>
          </w:tcPr>
          <w:p>
            <w:pPr>
              <w:spacing w:line="240" w:lineRule="exact"/>
              <w:jc w:val="center"/>
              <w:rPr>
                <w:sz w:val="21"/>
                <w:szCs w:val="21"/>
              </w:rPr>
            </w:pPr>
            <w:r>
              <w:rPr>
                <w:sz w:val="21"/>
                <w:szCs w:val="21"/>
              </w:rPr>
              <w:t>92.52</w:t>
            </w:r>
          </w:p>
        </w:tc>
        <w:tc>
          <w:tcPr>
            <w:tcW w:w="1422"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保持稳定或持续改善</w:t>
            </w:r>
          </w:p>
        </w:tc>
        <w:tc>
          <w:tcPr>
            <w:tcW w:w="1422"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保持稳定或持续改善</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达标</w:t>
            </w:r>
          </w:p>
        </w:tc>
      </w:tr>
      <w:tr>
        <w:tblPrEx>
          <w:tblCellMar>
            <w:top w:w="0" w:type="dxa"/>
            <w:left w:w="108" w:type="dxa"/>
            <w:bottom w:w="0" w:type="dxa"/>
            <w:right w:w="108" w:type="dxa"/>
          </w:tblCellMar>
        </w:tblPrEx>
        <w:trPr>
          <w:trHeight w:val="60" w:hRule="atLeast"/>
        </w:trPr>
        <w:tc>
          <w:tcPr>
            <w:tcW w:w="790" w:type="dxa"/>
            <w:vMerge w:val="continue"/>
            <w:tcBorders>
              <w:top w:val="nil"/>
              <w:left w:val="single" w:color="000000" w:sz="8" w:space="0"/>
              <w:bottom w:val="single" w:color="000000" w:sz="8" w:space="0"/>
              <w:right w:val="single" w:color="000000" w:sz="8" w:space="0"/>
            </w:tcBorders>
            <w:noWrap w:val="0"/>
            <w:vAlign w:val="center"/>
          </w:tcPr>
          <w:p>
            <w:pPr>
              <w:jc w:val="center"/>
              <w:rPr>
                <w:rFonts w:ascii="宋体" w:hAnsi="宋体" w:cs="宋体"/>
                <w:color w:val="000000"/>
                <w:sz w:val="21"/>
                <w:szCs w:val="21"/>
              </w:rPr>
            </w:pPr>
          </w:p>
        </w:tc>
        <w:tc>
          <w:tcPr>
            <w:tcW w:w="790" w:type="dxa"/>
            <w:vMerge w:val="continue"/>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16</w:t>
            </w:r>
          </w:p>
        </w:tc>
        <w:tc>
          <w:tcPr>
            <w:tcW w:w="2844"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一般工业固体废物综合利用率</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保持稳定或持续改善</w:t>
            </w:r>
          </w:p>
        </w:tc>
        <w:tc>
          <w:tcPr>
            <w:tcW w:w="2528" w:type="dxa"/>
            <w:tcBorders>
              <w:top w:val="nil"/>
              <w:left w:val="nil"/>
              <w:bottom w:val="single" w:color="000000" w:sz="8" w:space="0"/>
              <w:right w:val="single" w:color="000000" w:sz="8" w:space="0"/>
            </w:tcBorders>
            <w:noWrap w:val="0"/>
            <w:vAlign w:val="center"/>
          </w:tcPr>
          <w:p>
            <w:pPr>
              <w:spacing w:line="240" w:lineRule="exact"/>
              <w:jc w:val="center"/>
              <w:rPr>
                <w:sz w:val="21"/>
                <w:szCs w:val="21"/>
              </w:rPr>
            </w:pPr>
            <w:r>
              <w:rPr>
                <w:sz w:val="21"/>
                <w:szCs w:val="21"/>
              </w:rPr>
              <w:t>100%</w:t>
            </w:r>
          </w:p>
        </w:tc>
        <w:tc>
          <w:tcPr>
            <w:tcW w:w="1422"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保持稳定</w:t>
            </w:r>
          </w:p>
        </w:tc>
        <w:tc>
          <w:tcPr>
            <w:tcW w:w="1422"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保持稳定</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达标</w:t>
            </w:r>
          </w:p>
        </w:tc>
      </w:tr>
      <w:tr>
        <w:tblPrEx>
          <w:tblCellMar>
            <w:top w:w="0" w:type="dxa"/>
            <w:left w:w="108" w:type="dxa"/>
            <w:bottom w:w="0" w:type="dxa"/>
            <w:right w:w="108" w:type="dxa"/>
          </w:tblCellMar>
        </w:tblPrEx>
        <w:trPr>
          <w:trHeight w:val="458" w:hRule="atLeast"/>
        </w:trPr>
        <w:tc>
          <w:tcPr>
            <w:tcW w:w="790" w:type="dxa"/>
            <w:vMerge w:val="restart"/>
            <w:tcBorders>
              <w:top w:val="nil"/>
              <w:left w:val="single" w:color="000000" w:sz="8" w:space="0"/>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生态文化</w:t>
            </w:r>
          </w:p>
        </w:tc>
        <w:tc>
          <w:tcPr>
            <w:tcW w:w="790" w:type="dxa"/>
            <w:vMerge w:val="restart"/>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（七）产业循环发展</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17</w:t>
            </w:r>
          </w:p>
        </w:tc>
        <w:tc>
          <w:tcPr>
            <w:tcW w:w="2844"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公众对生态环境质量满意程度</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w:t>
            </w:r>
            <w:r>
              <w:rPr>
                <w:rStyle w:val="6"/>
                <w:color w:val="auto"/>
              </w:rPr>
              <w:t>90</w:t>
            </w:r>
          </w:p>
        </w:tc>
        <w:tc>
          <w:tcPr>
            <w:tcW w:w="2528" w:type="dxa"/>
            <w:tcBorders>
              <w:top w:val="nil"/>
              <w:left w:val="nil"/>
              <w:bottom w:val="single" w:color="000000" w:sz="8" w:space="0"/>
              <w:right w:val="single" w:color="000000" w:sz="8" w:space="0"/>
            </w:tcBorders>
            <w:noWrap w:val="0"/>
            <w:vAlign w:val="center"/>
          </w:tcPr>
          <w:p>
            <w:pPr>
              <w:spacing w:line="240" w:lineRule="exact"/>
              <w:jc w:val="center"/>
              <w:rPr>
                <w:sz w:val="21"/>
                <w:szCs w:val="21"/>
              </w:rPr>
            </w:pPr>
            <w:r>
              <w:rPr>
                <w:sz w:val="21"/>
                <w:szCs w:val="21"/>
              </w:rPr>
              <w:t>92.3</w:t>
            </w:r>
          </w:p>
        </w:tc>
        <w:tc>
          <w:tcPr>
            <w:tcW w:w="1422"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w:t>
            </w:r>
            <w:r>
              <w:rPr>
                <w:rStyle w:val="7"/>
                <w:color w:val="auto"/>
              </w:rPr>
              <w:t>93</w:t>
            </w:r>
          </w:p>
        </w:tc>
        <w:tc>
          <w:tcPr>
            <w:tcW w:w="1422"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w:t>
            </w:r>
            <w:r>
              <w:rPr>
                <w:rStyle w:val="7"/>
                <w:color w:val="auto"/>
              </w:rPr>
              <w:t>95</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达标</w:t>
            </w:r>
          </w:p>
        </w:tc>
      </w:tr>
      <w:tr>
        <w:tblPrEx>
          <w:tblCellMar>
            <w:top w:w="0" w:type="dxa"/>
            <w:left w:w="108" w:type="dxa"/>
            <w:bottom w:w="0" w:type="dxa"/>
            <w:right w:w="108" w:type="dxa"/>
          </w:tblCellMar>
        </w:tblPrEx>
        <w:trPr>
          <w:trHeight w:val="257" w:hRule="atLeast"/>
        </w:trPr>
        <w:tc>
          <w:tcPr>
            <w:tcW w:w="790" w:type="dxa"/>
            <w:vMerge w:val="continue"/>
            <w:tcBorders>
              <w:top w:val="nil"/>
              <w:left w:val="single" w:color="000000" w:sz="8" w:space="0"/>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p>
        </w:tc>
        <w:tc>
          <w:tcPr>
            <w:tcW w:w="790" w:type="dxa"/>
            <w:vMerge w:val="continue"/>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18</w:t>
            </w:r>
          </w:p>
        </w:tc>
        <w:tc>
          <w:tcPr>
            <w:tcW w:w="2844"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城镇新建绿色建筑比例</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sz w:val="21"/>
                <w:szCs w:val="21"/>
              </w:rPr>
            </w:pPr>
            <w:r>
              <w:rPr>
                <w:sz w:val="21"/>
                <w:szCs w:val="21"/>
              </w:rPr>
              <w:t>100</w:t>
            </w:r>
          </w:p>
        </w:tc>
        <w:tc>
          <w:tcPr>
            <w:tcW w:w="2528" w:type="dxa"/>
            <w:tcBorders>
              <w:top w:val="nil"/>
              <w:left w:val="nil"/>
              <w:bottom w:val="single" w:color="000000" w:sz="8" w:space="0"/>
              <w:right w:val="single" w:color="000000" w:sz="8" w:space="0"/>
            </w:tcBorders>
            <w:noWrap w:val="0"/>
            <w:vAlign w:val="center"/>
          </w:tcPr>
          <w:p>
            <w:pPr>
              <w:spacing w:line="240" w:lineRule="exact"/>
              <w:jc w:val="center"/>
              <w:rPr>
                <w:sz w:val="21"/>
                <w:szCs w:val="21"/>
              </w:rPr>
            </w:pPr>
            <w:r>
              <w:rPr>
                <w:sz w:val="21"/>
                <w:szCs w:val="21"/>
              </w:rPr>
              <w:t>100</w:t>
            </w:r>
          </w:p>
        </w:tc>
        <w:tc>
          <w:tcPr>
            <w:tcW w:w="1422"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保持稳定</w:t>
            </w:r>
          </w:p>
        </w:tc>
        <w:tc>
          <w:tcPr>
            <w:tcW w:w="1422"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保持稳定</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达标</w:t>
            </w:r>
          </w:p>
        </w:tc>
      </w:tr>
      <w:tr>
        <w:tblPrEx>
          <w:tblCellMar>
            <w:top w:w="0" w:type="dxa"/>
            <w:left w:w="108" w:type="dxa"/>
            <w:bottom w:w="0" w:type="dxa"/>
            <w:right w:w="108" w:type="dxa"/>
          </w:tblCellMar>
        </w:tblPrEx>
        <w:trPr>
          <w:trHeight w:val="1210" w:hRule="atLeast"/>
        </w:trPr>
        <w:tc>
          <w:tcPr>
            <w:tcW w:w="790" w:type="dxa"/>
            <w:tcBorders>
              <w:top w:val="nil"/>
              <w:left w:val="single" w:color="000000" w:sz="8" w:space="0"/>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生态生活</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（八）体制机制保障</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19</w:t>
            </w:r>
          </w:p>
        </w:tc>
        <w:tc>
          <w:tcPr>
            <w:tcW w:w="2844"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color w:val="000000"/>
                <w:sz w:val="21"/>
                <w:szCs w:val="21"/>
              </w:rPr>
            </w:pPr>
            <w:r>
              <w:rPr>
                <w:rFonts w:hint="eastAsia"/>
                <w:color w:val="000000"/>
                <w:sz w:val="21"/>
                <w:szCs w:val="21"/>
              </w:rPr>
              <w:t>生态环境信息公开率</w:t>
            </w:r>
          </w:p>
        </w:tc>
        <w:tc>
          <w:tcPr>
            <w:tcW w:w="790" w:type="dxa"/>
            <w:tcBorders>
              <w:top w:val="nil"/>
              <w:left w:val="nil"/>
              <w:bottom w:val="single" w:color="000000" w:sz="8" w:space="0"/>
              <w:right w:val="single" w:color="000000" w:sz="8" w:space="0"/>
            </w:tcBorders>
            <w:noWrap w:val="0"/>
            <w:vAlign w:val="center"/>
          </w:tcPr>
          <w:p>
            <w:pPr>
              <w:spacing w:line="240" w:lineRule="exact"/>
              <w:jc w:val="center"/>
              <w:rPr>
                <w:color w:val="000000"/>
                <w:sz w:val="21"/>
                <w:szCs w:val="21"/>
              </w:rPr>
            </w:pPr>
            <w:r>
              <w:rPr>
                <w:color w:val="000000"/>
                <w:sz w:val="21"/>
                <w:szCs w:val="21"/>
              </w:rPr>
              <w:t>%</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sz w:val="21"/>
                <w:szCs w:val="21"/>
              </w:rPr>
            </w:pPr>
            <w:r>
              <w:rPr>
                <w:sz w:val="21"/>
                <w:szCs w:val="21"/>
              </w:rPr>
              <w:t>100</w:t>
            </w:r>
          </w:p>
        </w:tc>
        <w:tc>
          <w:tcPr>
            <w:tcW w:w="2528" w:type="dxa"/>
            <w:tcBorders>
              <w:top w:val="nil"/>
              <w:left w:val="nil"/>
              <w:bottom w:val="single" w:color="000000" w:sz="8" w:space="0"/>
              <w:right w:val="single" w:color="000000" w:sz="8" w:space="0"/>
            </w:tcBorders>
            <w:noWrap w:val="0"/>
            <w:vAlign w:val="center"/>
          </w:tcPr>
          <w:p>
            <w:pPr>
              <w:spacing w:line="240" w:lineRule="exact"/>
              <w:jc w:val="center"/>
              <w:rPr>
                <w:sz w:val="21"/>
                <w:szCs w:val="21"/>
              </w:rPr>
            </w:pPr>
            <w:r>
              <w:rPr>
                <w:sz w:val="21"/>
                <w:szCs w:val="21"/>
              </w:rPr>
              <w:t>100</w:t>
            </w:r>
          </w:p>
        </w:tc>
        <w:tc>
          <w:tcPr>
            <w:tcW w:w="1422" w:type="dxa"/>
            <w:tcBorders>
              <w:top w:val="nil"/>
              <w:left w:val="nil"/>
              <w:bottom w:val="single" w:color="000000" w:sz="8" w:space="0"/>
              <w:right w:val="single" w:color="000000" w:sz="8" w:space="0"/>
            </w:tcBorders>
            <w:noWrap w:val="0"/>
            <w:vAlign w:val="center"/>
          </w:tcPr>
          <w:p>
            <w:pPr>
              <w:spacing w:line="240" w:lineRule="exact"/>
              <w:jc w:val="center"/>
              <w:rPr>
                <w:sz w:val="21"/>
                <w:szCs w:val="21"/>
              </w:rPr>
            </w:pPr>
            <w:r>
              <w:rPr>
                <w:sz w:val="21"/>
                <w:szCs w:val="21"/>
              </w:rPr>
              <w:t>100</w:t>
            </w:r>
          </w:p>
        </w:tc>
        <w:tc>
          <w:tcPr>
            <w:tcW w:w="1422" w:type="dxa"/>
            <w:tcBorders>
              <w:top w:val="nil"/>
              <w:left w:val="nil"/>
              <w:bottom w:val="single" w:color="000000" w:sz="8" w:space="0"/>
              <w:right w:val="single" w:color="000000" w:sz="8" w:space="0"/>
            </w:tcBorders>
            <w:noWrap w:val="0"/>
            <w:vAlign w:val="center"/>
          </w:tcPr>
          <w:p>
            <w:pPr>
              <w:spacing w:line="240" w:lineRule="exact"/>
              <w:jc w:val="center"/>
              <w:rPr>
                <w:sz w:val="21"/>
                <w:szCs w:val="21"/>
              </w:rPr>
            </w:pPr>
            <w:r>
              <w:rPr>
                <w:sz w:val="21"/>
                <w:szCs w:val="21"/>
              </w:rPr>
              <w:t>100</w:t>
            </w:r>
          </w:p>
        </w:tc>
        <w:tc>
          <w:tcPr>
            <w:tcW w:w="1896" w:type="dxa"/>
            <w:tcBorders>
              <w:top w:val="nil"/>
              <w:left w:val="nil"/>
              <w:bottom w:val="single" w:color="000000" w:sz="8" w:space="0"/>
              <w:right w:val="single" w:color="000000" w:sz="8" w:space="0"/>
            </w:tcBorders>
            <w:noWrap w:val="0"/>
            <w:vAlign w:val="center"/>
          </w:tcPr>
          <w:p>
            <w:pPr>
              <w:spacing w:line="240" w:lineRule="exact"/>
              <w:jc w:val="center"/>
              <w:rPr>
                <w:rFonts w:ascii="宋体" w:hAnsi="宋体" w:cs="宋体"/>
                <w:sz w:val="21"/>
                <w:szCs w:val="21"/>
              </w:rPr>
            </w:pPr>
            <w:r>
              <w:rPr>
                <w:rFonts w:hint="eastAsia"/>
                <w:sz w:val="21"/>
                <w:szCs w:val="21"/>
              </w:rPr>
              <w:t>达标</w:t>
            </w:r>
          </w:p>
        </w:tc>
      </w:tr>
      <w:tr>
        <w:tblPrEx>
          <w:tblCellMar>
            <w:top w:w="0" w:type="dxa"/>
            <w:left w:w="108" w:type="dxa"/>
            <w:bottom w:w="0" w:type="dxa"/>
            <w:right w:w="108" w:type="dxa"/>
          </w:tblCellMar>
        </w:tblPrEx>
        <w:trPr>
          <w:trHeight w:val="60" w:hRule="atLeast"/>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领域</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任务</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序号</w:t>
            </w:r>
          </w:p>
        </w:tc>
        <w:tc>
          <w:tcPr>
            <w:tcW w:w="28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指标名称</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单位</w:t>
            </w:r>
          </w:p>
        </w:tc>
        <w:tc>
          <w:tcPr>
            <w:tcW w:w="189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指标值</w:t>
            </w:r>
          </w:p>
        </w:tc>
        <w:tc>
          <w:tcPr>
            <w:tcW w:w="25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基准年指标值</w:t>
            </w:r>
            <w:r>
              <w:rPr>
                <w:rFonts w:eastAsia="方正黑体_GBK"/>
                <w:snapToGrid/>
                <w:color w:val="000000"/>
                <w:sz w:val="21"/>
                <w:szCs w:val="21"/>
              </w:rPr>
              <w:t>2023</w:t>
            </w:r>
            <w:r>
              <w:rPr>
                <w:rFonts w:ascii="方正黑体_GBK" w:hAnsi="宋体" w:eastAsia="方正黑体_GBK" w:cs="宋体"/>
                <w:snapToGrid/>
                <w:color w:val="000000"/>
                <w:sz w:val="21"/>
                <w:szCs w:val="21"/>
              </w:rPr>
              <w:t>年</w:t>
            </w:r>
          </w:p>
        </w:tc>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规划年目标值</w:t>
            </w:r>
          </w:p>
        </w:tc>
        <w:tc>
          <w:tcPr>
            <w:tcW w:w="189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黑体_GBK" w:hAnsi="宋体" w:eastAsia="方正黑体_GBK" w:cs="宋体"/>
                <w:snapToGrid/>
                <w:color w:val="000000"/>
                <w:sz w:val="21"/>
                <w:szCs w:val="21"/>
              </w:rPr>
            </w:pPr>
            <w:r>
              <w:rPr>
                <w:rFonts w:hint="eastAsia" w:ascii="方正黑体_GBK" w:hAnsi="宋体" w:eastAsia="方正黑体_GBK" w:cs="宋体"/>
                <w:snapToGrid/>
                <w:color w:val="000000"/>
                <w:sz w:val="21"/>
                <w:szCs w:val="21"/>
              </w:rPr>
              <w:t>基准年达标情况</w:t>
            </w:r>
          </w:p>
        </w:tc>
      </w:tr>
      <w:tr>
        <w:tblPrEx>
          <w:tblCellMar>
            <w:top w:w="0" w:type="dxa"/>
            <w:left w:w="108" w:type="dxa"/>
            <w:bottom w:w="0" w:type="dxa"/>
            <w:right w:w="108" w:type="dxa"/>
          </w:tblCellMar>
        </w:tblPrEx>
        <w:trPr>
          <w:trHeight w:val="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1"/>
                <w:szCs w:val="21"/>
              </w:rPr>
            </w:pPr>
          </w:p>
        </w:tc>
        <w:tc>
          <w:tcPr>
            <w:tcW w:w="28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1"/>
                <w:szCs w:val="21"/>
              </w:rPr>
            </w:pPr>
          </w:p>
        </w:tc>
        <w:tc>
          <w:tcPr>
            <w:tcW w:w="1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1"/>
                <w:szCs w:val="21"/>
              </w:rPr>
            </w:pPr>
          </w:p>
        </w:tc>
        <w:tc>
          <w:tcPr>
            <w:tcW w:w="2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1"/>
                <w:szCs w:val="21"/>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2025</w:t>
            </w:r>
            <w:r>
              <w:rPr>
                <w:rFonts w:ascii="方正黑体_GBK" w:eastAsia="方正黑体_GBK"/>
                <w:snapToGrid/>
                <w:color w:val="000000"/>
                <w:sz w:val="21"/>
                <w:szCs w:val="21"/>
              </w:rPr>
              <w:t>年</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2030</w:t>
            </w:r>
            <w:r>
              <w:rPr>
                <w:rFonts w:ascii="方正黑体_GBK" w:eastAsia="方正黑体_GBK"/>
                <w:snapToGrid/>
                <w:color w:val="000000"/>
                <w:sz w:val="21"/>
                <w:szCs w:val="21"/>
              </w:rPr>
              <w:t>年</w:t>
            </w:r>
          </w:p>
        </w:tc>
        <w:tc>
          <w:tcPr>
            <w:tcW w:w="1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黑体_GBK" w:hAnsi="宋体" w:eastAsia="方正黑体_GBK" w:cs="宋体"/>
                <w:snapToGrid/>
                <w:color w:val="000000"/>
                <w:sz w:val="21"/>
                <w:szCs w:val="21"/>
              </w:rPr>
            </w:pPr>
          </w:p>
        </w:tc>
      </w:tr>
      <w:tr>
        <w:tblPrEx>
          <w:tblCellMar>
            <w:top w:w="0" w:type="dxa"/>
            <w:left w:w="108" w:type="dxa"/>
            <w:bottom w:w="0" w:type="dxa"/>
            <w:right w:w="108" w:type="dxa"/>
          </w:tblCellMar>
        </w:tblPrEx>
        <w:trPr>
          <w:trHeight w:val="71" w:hRule="atLeast"/>
        </w:trPr>
        <w:tc>
          <w:tcPr>
            <w:tcW w:w="158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rPr>
                <w:rFonts w:ascii="方正仿宋_GBK" w:hAnsi="宋体" w:cs="宋体"/>
                <w:snapToGrid/>
                <w:color w:val="000000"/>
                <w:sz w:val="21"/>
                <w:szCs w:val="21"/>
              </w:rPr>
            </w:pPr>
            <w:r>
              <w:rPr>
                <w:rFonts w:hint="eastAsia" w:ascii="方正仿宋_GBK" w:hAnsi="宋体" w:cs="宋体"/>
                <w:snapToGrid/>
                <w:color w:val="000000"/>
                <w:sz w:val="21"/>
                <w:szCs w:val="21"/>
              </w:rPr>
              <w:t>参考性指标</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农村生活污水治理（管控）率</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中西部其他地区、东北地区：≥</w:t>
            </w:r>
            <w:r>
              <w:rPr>
                <w:snapToGrid/>
                <w:color w:val="000000"/>
                <w:sz w:val="21"/>
                <w:szCs w:val="21"/>
              </w:rPr>
              <w:t>30</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22.08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w:t>
            </w:r>
            <w:r>
              <w:rPr>
                <w:snapToGrid/>
                <w:color w:val="000000"/>
                <w:sz w:val="21"/>
                <w:szCs w:val="21"/>
              </w:rPr>
              <w:t>25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w:t>
            </w:r>
            <w:r>
              <w:rPr>
                <w:snapToGrid/>
                <w:color w:val="000000"/>
                <w:sz w:val="21"/>
                <w:szCs w:val="21"/>
              </w:rPr>
              <w:t>30</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44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声环境功能区夜间达标率</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完成上级规定的考核任务，且保持稳定或持续提高</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长白县无自动监测点位，不涉及该指标；负责配合上级完成任务</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完成上级规定的考核任务</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完成上级规定的考核任务</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70"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3</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危险废物填埋处置量占比</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持续下降</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相比上一年（</w:t>
            </w:r>
            <w:r>
              <w:rPr>
                <w:snapToGrid/>
                <w:color w:val="000000"/>
                <w:sz w:val="21"/>
                <w:szCs w:val="21"/>
              </w:rPr>
              <w:t>2022</w:t>
            </w:r>
            <w:r>
              <w:rPr>
                <w:rFonts w:ascii="方正仿宋_GBK" w:hAnsi="宋体" w:cs="宋体"/>
                <w:snapToGrid/>
                <w:color w:val="000000"/>
                <w:sz w:val="21"/>
                <w:szCs w:val="21"/>
              </w:rPr>
              <w:t>年）下降</w:t>
            </w:r>
            <w:r>
              <w:rPr>
                <w:snapToGrid/>
                <w:color w:val="000000"/>
                <w:sz w:val="21"/>
                <w:szCs w:val="21"/>
              </w:rPr>
              <w:t>9.28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方正仿宋_GBK" w:hAnsi="宋体" w:cs="宋体"/>
                <w:snapToGrid/>
                <w:color w:val="000000"/>
                <w:sz w:val="21"/>
                <w:szCs w:val="21"/>
              </w:rPr>
            </w:pPr>
            <w:r>
              <w:rPr>
                <w:rFonts w:hint="eastAsia" w:ascii="方正仿宋_GBK" w:hAnsi="宋体" w:cs="宋体"/>
                <w:snapToGrid/>
                <w:color w:val="000000"/>
                <w:sz w:val="21"/>
                <w:szCs w:val="21"/>
              </w:rPr>
              <w:t>持续下降</w:t>
            </w:r>
          </w:p>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w:t>
            </w:r>
            <w:r>
              <w:rPr>
                <w:snapToGrid/>
                <w:color w:val="000000"/>
                <w:sz w:val="21"/>
                <w:szCs w:val="21"/>
              </w:rPr>
              <w:t>10%</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方正仿宋_GBK" w:hAnsi="宋体" w:cs="宋体"/>
                <w:snapToGrid/>
                <w:color w:val="000000"/>
                <w:sz w:val="21"/>
                <w:szCs w:val="21"/>
              </w:rPr>
            </w:pPr>
            <w:r>
              <w:rPr>
                <w:rFonts w:hint="eastAsia" w:ascii="方正仿宋_GBK" w:hAnsi="宋体" w:cs="宋体"/>
                <w:snapToGrid/>
                <w:color w:val="000000"/>
                <w:sz w:val="21"/>
                <w:szCs w:val="21"/>
              </w:rPr>
              <w:t>持续下降</w:t>
            </w:r>
          </w:p>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w:t>
            </w:r>
            <w:r>
              <w:rPr>
                <w:snapToGrid/>
                <w:color w:val="000000"/>
                <w:sz w:val="21"/>
                <w:szCs w:val="21"/>
              </w:rPr>
              <w:t>12%</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67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4</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河湖岸线保护率</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完成上级规定的考核任务</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2023</w:t>
            </w:r>
            <w:r>
              <w:rPr>
                <w:rFonts w:ascii="方正仿宋_GBK"/>
                <w:snapToGrid/>
                <w:color w:val="000000"/>
                <w:sz w:val="21"/>
                <w:szCs w:val="21"/>
              </w:rPr>
              <w:t>年完成上级规定任务，河湖岸线保护率</w:t>
            </w:r>
            <w:r>
              <w:rPr>
                <w:rFonts w:eastAsia="宋体"/>
                <w:snapToGrid/>
                <w:color w:val="000000"/>
                <w:sz w:val="21"/>
                <w:szCs w:val="21"/>
              </w:rPr>
              <w:t>100%</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完成上级规定的考核任务</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完成上级规定的考核任务</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220"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5</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规模以下畜禽粪污集中收运利用体系</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建立</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建立</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建立</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建立</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r>
        <w:tblPrEx>
          <w:tblCellMar>
            <w:top w:w="0" w:type="dxa"/>
            <w:left w:w="108" w:type="dxa"/>
            <w:bottom w:w="0" w:type="dxa"/>
            <w:right w:w="108" w:type="dxa"/>
          </w:tblCellMar>
        </w:tblPrEx>
        <w:trPr>
          <w:trHeight w:val="70"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方正仿宋_GBK" w:hAnsi="宋体" w:cs="宋体"/>
                <w:snapToGrid/>
                <w:color w:val="000000"/>
                <w:sz w:val="2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6</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耕地土壤有机质含量</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g/kg</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保持稳定或有所提高</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宋体"/>
                <w:snapToGrid/>
                <w:color w:val="000000"/>
                <w:sz w:val="21"/>
                <w:szCs w:val="21"/>
              </w:rPr>
            </w:pPr>
            <w:r>
              <w:rPr>
                <w:rFonts w:eastAsia="宋体"/>
                <w:snapToGrid/>
                <w:color w:val="000000"/>
                <w:sz w:val="21"/>
                <w:szCs w:val="21"/>
              </w:rPr>
              <w:t>39.71</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方正仿宋_GBK" w:hAnsi="宋体" w:cs="宋体"/>
                <w:snapToGrid/>
                <w:color w:val="000000"/>
                <w:sz w:val="21"/>
                <w:szCs w:val="21"/>
              </w:rPr>
            </w:pPr>
            <w:r>
              <w:rPr>
                <w:rFonts w:hint="eastAsia" w:ascii="方正仿宋_GBK" w:hAnsi="宋体" w:cs="宋体"/>
                <w:snapToGrid/>
                <w:color w:val="000000"/>
                <w:sz w:val="21"/>
                <w:szCs w:val="21"/>
              </w:rPr>
              <w:t>有所提高</w:t>
            </w:r>
          </w:p>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w:t>
            </w:r>
            <w:r>
              <w:rPr>
                <w:snapToGrid/>
                <w:color w:val="000000"/>
                <w:sz w:val="21"/>
                <w:szCs w:val="21"/>
              </w:rPr>
              <w:t>40</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方正仿宋_GBK" w:hAnsi="宋体" w:cs="宋体"/>
                <w:snapToGrid/>
                <w:color w:val="000000"/>
                <w:sz w:val="21"/>
                <w:szCs w:val="21"/>
              </w:rPr>
            </w:pPr>
            <w:r>
              <w:rPr>
                <w:rFonts w:hint="eastAsia" w:ascii="方正仿宋_GBK" w:hAnsi="宋体" w:cs="宋体"/>
                <w:snapToGrid/>
                <w:color w:val="000000"/>
                <w:sz w:val="21"/>
                <w:szCs w:val="21"/>
              </w:rPr>
              <w:t>有所提高</w:t>
            </w:r>
          </w:p>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w:t>
            </w:r>
            <w:r>
              <w:rPr>
                <w:snapToGrid/>
                <w:color w:val="000000"/>
                <w:sz w:val="21"/>
                <w:szCs w:val="21"/>
              </w:rPr>
              <w:t>42</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方正仿宋_GBK" w:hAnsi="宋体" w:cs="宋体"/>
                <w:snapToGrid/>
                <w:color w:val="000000"/>
                <w:sz w:val="21"/>
                <w:szCs w:val="21"/>
              </w:rPr>
            </w:pPr>
            <w:r>
              <w:rPr>
                <w:rFonts w:hint="eastAsia" w:ascii="方正仿宋_GBK" w:hAnsi="宋体" w:cs="宋体"/>
                <w:snapToGrid/>
                <w:color w:val="000000"/>
                <w:sz w:val="21"/>
                <w:szCs w:val="21"/>
              </w:rPr>
              <w:t>达标</w:t>
            </w:r>
          </w:p>
        </w:tc>
      </w:tr>
    </w:tbl>
    <w:p>
      <w:pPr>
        <w:adjustRightInd w:val="0"/>
        <w:snapToGrid w:val="0"/>
        <w:spacing w:line="240" w:lineRule="exact"/>
        <w:rPr>
          <w:rFonts w:hint="eastAsia"/>
        </w:rPr>
      </w:pPr>
    </w:p>
    <w:p>
      <w:pPr>
        <w:adjustRightInd w:val="0"/>
        <w:snapToGrid w:val="0"/>
        <w:spacing w:line="240" w:lineRule="exact"/>
        <w:rPr>
          <w:rFonts w:hint="eastAsia"/>
        </w:rPr>
        <w:sectPr>
          <w:pgSz w:w="16838" w:h="11906" w:orient="landscape"/>
          <w:pgMar w:top="1588" w:right="2098" w:bottom="1474" w:left="1985" w:header="2098" w:footer="1644" w:gutter="0"/>
          <w:cols w:space="720" w:num="1"/>
          <w:docGrid w:type="linesAndChars" w:linePitch="579" w:charSpace="-842"/>
        </w:sectPr>
      </w:pPr>
    </w:p>
    <w:p>
      <w:pPr>
        <w:spacing w:line="560" w:lineRule="exact"/>
        <w:jc w:val="center"/>
        <w:rPr>
          <w:rFonts w:hint="eastAsia" w:ascii="方正黑体_GBK" w:eastAsia="方正黑体_GBK"/>
        </w:rPr>
      </w:pPr>
      <w:bookmarkStart w:id="64" w:name="_Toc18939"/>
      <w:bookmarkStart w:id="65" w:name="_Toc31826"/>
      <w:bookmarkStart w:id="66" w:name="_Toc26876"/>
      <w:bookmarkStart w:id="67" w:name="_Toc24462"/>
      <w:r>
        <w:rPr>
          <w:rFonts w:hint="eastAsia" w:ascii="方正黑体_GBK" w:eastAsia="方正黑体_GBK"/>
        </w:rPr>
        <w:t>第三章  规划任务与措施</w:t>
      </w:r>
      <w:bookmarkEnd w:id="64"/>
      <w:bookmarkEnd w:id="65"/>
      <w:bookmarkEnd w:id="66"/>
      <w:bookmarkEnd w:id="67"/>
    </w:p>
    <w:p>
      <w:pPr>
        <w:spacing w:line="560" w:lineRule="exact"/>
        <w:jc w:val="center"/>
        <w:rPr>
          <w:rFonts w:hint="eastAsia" w:ascii="方正黑体_GBK" w:eastAsia="方正黑体_GBK"/>
        </w:rPr>
      </w:pPr>
    </w:p>
    <w:p>
      <w:pPr>
        <w:spacing w:line="560" w:lineRule="exact"/>
        <w:ind w:firstLine="632" w:firstLineChars="200"/>
        <w:rPr>
          <w:rFonts w:hint="eastAsia" w:ascii="方正楷体_GBK" w:eastAsia="方正楷体_GBK"/>
        </w:rPr>
      </w:pPr>
      <w:bookmarkStart w:id="68" w:name="_Toc27735"/>
      <w:bookmarkStart w:id="69" w:name="_Toc31565"/>
      <w:bookmarkStart w:id="70" w:name="_Toc15648"/>
      <w:bookmarkStart w:id="71" w:name="_Toc31677"/>
      <w:r>
        <w:rPr>
          <w:rFonts w:hint="eastAsia" w:ascii="方正楷体_GBK" w:eastAsia="方正楷体_GBK"/>
        </w:rPr>
        <w:t>（一）生态制度体系建设</w:t>
      </w:r>
      <w:bookmarkEnd w:id="68"/>
      <w:bookmarkEnd w:id="69"/>
      <w:bookmarkEnd w:id="70"/>
      <w:bookmarkEnd w:id="71"/>
      <w:r>
        <w:rPr>
          <w:rFonts w:hint="eastAsia" w:ascii="方正楷体_GBK" w:eastAsia="方正楷体_GBK"/>
        </w:rPr>
        <w:t>。</w:t>
      </w:r>
    </w:p>
    <w:p>
      <w:pPr>
        <w:spacing w:line="560" w:lineRule="exact"/>
        <w:ind w:firstLine="632" w:firstLineChars="200"/>
      </w:pPr>
      <w:r>
        <w:t>探索体制机制创新，构建以改善生态环境质量为核心的目标责任体系、以治理体系和治理能力现代化为保障的生态文明制度体系，</w:t>
      </w:r>
      <w:r>
        <w:rPr>
          <w:rFonts w:hint="eastAsia"/>
        </w:rPr>
        <w:t>建立</w:t>
      </w:r>
      <w:r>
        <w:t>完善</w:t>
      </w:r>
      <w:r>
        <w:rPr>
          <w:rFonts w:hint="eastAsia"/>
        </w:rPr>
        <w:t>“源头严防、过程严管、损害赔偿、责任追究”的全过程生态环境监管体系</w:t>
      </w:r>
      <w:r>
        <w:t>。</w:t>
      </w:r>
    </w:p>
    <w:p>
      <w:pPr>
        <w:spacing w:line="560" w:lineRule="exact"/>
        <w:ind w:firstLine="632" w:firstLineChars="200"/>
      </w:pPr>
      <w:bookmarkStart w:id="72" w:name="_Toc12618"/>
      <w:bookmarkStart w:id="73" w:name="_Toc10887"/>
      <w:bookmarkStart w:id="74" w:name="_Toc1626"/>
      <w:r>
        <w:t>1﹒生态环境保护制度</w:t>
      </w:r>
      <w:bookmarkEnd w:id="72"/>
      <w:bookmarkEnd w:id="73"/>
      <w:bookmarkEnd w:id="74"/>
    </w:p>
    <w:p>
      <w:pPr>
        <w:spacing w:line="560" w:lineRule="exact"/>
        <w:ind w:firstLine="632" w:firstLineChars="200"/>
      </w:pPr>
      <w:r>
        <w:rPr>
          <w:b/>
        </w:rPr>
        <w:t>健全生态环境损害责任追究机制。</w:t>
      </w:r>
      <w:r>
        <w:t>建立清晰的生态环境损害责任体系和问责机制；深入开展生态环境领域专项整治。坚持人与自然和谐共生</w:t>
      </w:r>
      <w:r>
        <w:rPr>
          <w:rFonts w:hint="eastAsia"/>
        </w:rPr>
        <w:t>的理念</w:t>
      </w:r>
      <w:r>
        <w:t>，健全源头预防、过程控制、损害赔偿、责任追究的生态环境保护体系。</w:t>
      </w:r>
    </w:p>
    <w:p>
      <w:pPr>
        <w:spacing w:line="560" w:lineRule="exact"/>
        <w:ind w:firstLine="632" w:firstLineChars="200"/>
      </w:pPr>
      <w:r>
        <w:rPr>
          <w:b/>
        </w:rPr>
        <w:t>完善应急污染防治体系。</w:t>
      </w:r>
      <w:r>
        <w:t>提升环境应急能力水平。</w:t>
      </w:r>
      <w:r>
        <w:rPr>
          <w:rFonts w:hint="eastAsia"/>
        </w:rPr>
        <w:t>完善</w:t>
      </w:r>
      <w:r>
        <w:t>环境事故应急预案。加强对工业园区、饮用水水源保护区及相关流域等重点区域的环境监测，完善环境风险防控和预警机制。</w:t>
      </w:r>
    </w:p>
    <w:p>
      <w:pPr>
        <w:spacing w:line="560" w:lineRule="exact"/>
        <w:ind w:firstLine="632" w:firstLineChars="200"/>
        <w:rPr>
          <w:rFonts w:hint="eastAsia" w:ascii="方正仿宋_GBK"/>
        </w:rPr>
      </w:pPr>
      <w:r>
        <w:rPr>
          <w:b/>
        </w:rPr>
        <w:t>不断提高环境监管能力。</w:t>
      </w:r>
      <w:r>
        <w:rPr>
          <w:rFonts w:hint="eastAsia" w:ascii="方正仿宋_GBK"/>
        </w:rPr>
        <w:t>加强生态环境综合行政执法能力建设，全面提升环境执法工作能力。逐步构建环境监管联动平台，形成日常环境监管联动机制。建立污染源“一企一策”数据动态管理和档案，全面提升污染管理的行政效能。</w:t>
      </w:r>
    </w:p>
    <w:p>
      <w:pPr>
        <w:spacing w:line="560" w:lineRule="exact"/>
        <w:ind w:firstLine="632" w:firstLineChars="200"/>
      </w:pPr>
      <w:r>
        <w:rPr>
          <w:b/>
        </w:rPr>
        <w:t>完善环保信息披露制度。</w:t>
      </w:r>
      <w:r>
        <w:t>健全政府信息公开保密审查制度，明确政府信息保密审查的内容和方式，明确审查责任，确保信息公开合法安全；建立大数据思维，充分运用现代信息手段，利用网络平台依法推进政府环境信息公开。</w:t>
      </w:r>
    </w:p>
    <w:p>
      <w:pPr>
        <w:spacing w:line="560" w:lineRule="exact"/>
        <w:ind w:firstLine="632" w:firstLineChars="200"/>
      </w:pPr>
      <w:r>
        <w:rPr>
          <w:b/>
        </w:rPr>
        <w:t>完善企业环保信用评价制度</w:t>
      </w:r>
      <w:r>
        <w:rPr>
          <w:rFonts w:hint="eastAsia"/>
          <w:b/>
        </w:rPr>
        <w:t>。</w:t>
      </w:r>
      <w:r>
        <w:t>依据评价结果实施分级分类监管，建立排污企业黑名单制度，依法向社会公开。要求排污企业依法公开</w:t>
      </w:r>
      <w:r>
        <w:rPr>
          <w:rFonts w:hint="eastAsia"/>
        </w:rPr>
        <w:t>污染物信息</w:t>
      </w:r>
      <w:r>
        <w:t>以及污染防治设施建设和运行情况。鼓励排污企业在确保安全生产前提下，向社会公众开放。</w:t>
      </w:r>
    </w:p>
    <w:p>
      <w:pPr>
        <w:spacing w:line="560" w:lineRule="exact"/>
        <w:ind w:firstLine="632" w:firstLineChars="200"/>
        <w:rPr>
          <w:rFonts w:hint="eastAsia"/>
        </w:rPr>
      </w:pPr>
      <w:bookmarkStart w:id="75" w:name="_Toc11484"/>
      <w:bookmarkStart w:id="76" w:name="_Toc26316"/>
      <w:bookmarkStart w:id="77" w:name="_Toc22258"/>
      <w:r>
        <w:t>2﹒资源高效利用制度</w:t>
      </w:r>
      <w:bookmarkEnd w:id="75"/>
      <w:bookmarkEnd w:id="76"/>
      <w:bookmarkEnd w:id="77"/>
      <w:r>
        <w:rPr>
          <w:rFonts w:hint="eastAsia"/>
        </w:rPr>
        <w:t>。</w:t>
      </w:r>
    </w:p>
    <w:p>
      <w:pPr>
        <w:spacing w:line="560" w:lineRule="exact"/>
        <w:ind w:firstLine="632" w:firstLineChars="200"/>
      </w:pPr>
      <w:r>
        <w:rPr>
          <w:b/>
        </w:rPr>
        <w:t>完善资源循环利用制度。</w:t>
      </w:r>
      <w:r>
        <w:t>完善再生资源回收体系，提高资源综合利用效率和循环经济水平，构建覆盖全社会的资源循环利用体系。加大绿色金融支持，落实好促进节能减排相关税收优惠政策，推进用能权、排污权和碳排放权交易。</w:t>
      </w:r>
    </w:p>
    <w:p>
      <w:pPr>
        <w:spacing w:line="560" w:lineRule="exact"/>
        <w:ind w:firstLine="632" w:firstLineChars="200"/>
      </w:pPr>
      <w:r>
        <w:rPr>
          <w:b/>
        </w:rPr>
        <w:t>完善自然资源资产离任审计制度。</w:t>
      </w:r>
      <w:r>
        <w:t>以自然资源资产负债表为基础，形成自然资源资产离任审计制度实施细则。建立健全自然资源资产审计评价指标体系。</w:t>
      </w:r>
    </w:p>
    <w:p>
      <w:pPr>
        <w:spacing w:line="560" w:lineRule="exact"/>
        <w:ind w:firstLine="632" w:firstLineChars="200"/>
      </w:pPr>
      <w:r>
        <w:rPr>
          <w:b/>
        </w:rPr>
        <w:t>强化约束性指标管理机制。</w:t>
      </w:r>
      <w:r>
        <w:t>实行能源和水资源消耗、建设用地等总量和强度双控行动，建立目标责任制。研究建立双控的市场化机制，建立预算管理制度、有偿使用和交易制度，更多用市场手段实现目标。</w:t>
      </w:r>
    </w:p>
    <w:p>
      <w:pPr>
        <w:spacing w:line="560" w:lineRule="exact"/>
        <w:ind w:firstLine="632" w:firstLineChars="200"/>
        <w:rPr>
          <w:rFonts w:hint="eastAsia"/>
        </w:rPr>
      </w:pPr>
      <w:bookmarkStart w:id="78" w:name="_Toc11075"/>
      <w:bookmarkStart w:id="79" w:name="_Toc9170"/>
      <w:bookmarkStart w:id="80" w:name="_Toc10523"/>
      <w:r>
        <w:t>3﹒生态环境保护责任制度</w:t>
      </w:r>
      <w:bookmarkEnd w:id="78"/>
      <w:bookmarkEnd w:id="79"/>
      <w:bookmarkEnd w:id="80"/>
      <w:r>
        <w:rPr>
          <w:rFonts w:hint="eastAsia"/>
        </w:rPr>
        <w:t>。</w:t>
      </w:r>
    </w:p>
    <w:p>
      <w:pPr>
        <w:spacing w:line="560" w:lineRule="exact"/>
        <w:ind w:firstLine="632" w:firstLineChars="200"/>
      </w:pPr>
      <w:r>
        <w:rPr>
          <w:b/>
        </w:rPr>
        <w:t>强化生态系统管控体系。</w:t>
      </w:r>
      <w:r>
        <w:t>落实主体功能区战略，严守生态保护红线，落</w:t>
      </w:r>
      <w:r>
        <w:rPr>
          <w:rFonts w:hint="eastAsia" w:ascii="方正仿宋_GBK"/>
        </w:rPr>
        <w:t>实“三线一单”，加强生态功能重要区域保护。严守生态保护红线。立足资源环境承载能力，落实“三线一单”，建立动态更新和调整机制，完善“三线一单”生态环境分区</w:t>
      </w:r>
      <w:r>
        <w:t>管控体系。</w:t>
      </w:r>
    </w:p>
    <w:p>
      <w:pPr>
        <w:spacing w:line="560" w:lineRule="exact"/>
        <w:ind w:firstLine="632" w:firstLineChars="200"/>
      </w:pPr>
      <w:r>
        <w:rPr>
          <w:b/>
        </w:rPr>
        <w:t>加强生态系统保护与修复。</w:t>
      </w:r>
      <w:r>
        <w:t>推行林长制，建设</w:t>
      </w:r>
      <w:r>
        <w:rPr>
          <w:rFonts w:hint="eastAsia"/>
        </w:rPr>
        <w:t>长白朝鲜族自治县</w:t>
      </w:r>
      <w:r>
        <w:t>高质量发展示范区，持续开</w:t>
      </w:r>
      <w:r>
        <w:rPr>
          <w:rFonts w:hint="eastAsia" w:ascii="方正仿宋_GBK"/>
        </w:rPr>
        <w:t>展“绿盾”自然保护地强化监督行动，</w:t>
      </w:r>
      <w:r>
        <w:rPr>
          <w:rFonts w:hint="eastAsia" w:ascii="方正仿宋_GBK"/>
          <w:color w:val="000000"/>
        </w:rPr>
        <w:t>统筹“山水林田湖草沙”一</w:t>
      </w:r>
      <w:r>
        <w:rPr>
          <w:rFonts w:hint="eastAsia" w:ascii="方正仿宋_GBK"/>
        </w:rPr>
        <w:t>体化保</w:t>
      </w:r>
      <w:r>
        <w:t>护和修复，建立完善生物多样性监测网络和生态监测评估体系，完善自然保护地、生态保护红线监管。</w:t>
      </w:r>
    </w:p>
    <w:p>
      <w:pPr>
        <w:spacing w:line="560" w:lineRule="exact"/>
        <w:ind w:firstLine="632" w:firstLineChars="200"/>
      </w:pPr>
      <w:r>
        <w:rPr>
          <w:b/>
        </w:rPr>
        <w:t>完善生态保护补偿制度。</w:t>
      </w:r>
      <w:r>
        <w:t>探索建立市场化、多元化的生态保护红线区域生态补偿制度，以财政奖补为基础，加大生态补偿，明确奖补方向，促进生态保护和绿色产业发展。</w:t>
      </w:r>
    </w:p>
    <w:p>
      <w:pPr>
        <w:spacing w:line="560" w:lineRule="exact"/>
        <w:ind w:firstLine="632" w:firstLineChars="200"/>
        <w:rPr>
          <w:rFonts w:hint="eastAsia"/>
        </w:rPr>
      </w:pPr>
      <w:bookmarkStart w:id="81" w:name="_Toc15570"/>
      <w:bookmarkStart w:id="82" w:name="_Toc7655"/>
      <w:bookmarkStart w:id="83" w:name="_Toc1433"/>
      <w:r>
        <w:rPr>
          <w:rFonts w:hint="eastAsia"/>
        </w:rPr>
        <w:t>4</w:t>
      </w:r>
      <w:r>
        <w:t>﹒生态保护与修复制度</w:t>
      </w:r>
      <w:bookmarkEnd w:id="81"/>
      <w:bookmarkEnd w:id="82"/>
      <w:bookmarkEnd w:id="83"/>
      <w:r>
        <w:rPr>
          <w:rFonts w:hint="eastAsia"/>
        </w:rPr>
        <w:t>。</w:t>
      </w:r>
    </w:p>
    <w:p>
      <w:pPr>
        <w:spacing w:line="560" w:lineRule="exact"/>
        <w:ind w:firstLine="632" w:firstLineChars="200"/>
      </w:pPr>
      <w:r>
        <w:rPr>
          <w:b/>
        </w:rPr>
        <w:t>强化企业治理责任制度。</w:t>
      </w:r>
      <w:r>
        <w:t>健全排污许可证管理制度。全面统计重点污染物排放企业名单，核实排污许可证情况，规范排污口。加强企业环境治理责任制度建设，接受社会监督。重点排污企业安装使用监测设备并确保正常运行，坚决杜绝治理效果和监测数据造假。</w:t>
      </w:r>
    </w:p>
    <w:p>
      <w:pPr>
        <w:spacing w:line="560" w:lineRule="exact"/>
        <w:ind w:firstLine="632" w:firstLineChars="200"/>
        <w:rPr>
          <w:rFonts w:hint="eastAsia" w:ascii="方正仿宋_GBK"/>
        </w:rPr>
      </w:pPr>
      <w:r>
        <w:rPr>
          <w:b/>
        </w:rPr>
        <w:t>优化河长制工作机制。</w:t>
      </w:r>
      <w:r>
        <w:t>以全面推行河长制为重要抓手，健全跨部门生态环境保护议事协调机制，加强协调配合、定期会商，实施联合监测、联合执法、应急联动、信息共享。压实各级河长工作职</w:t>
      </w:r>
      <w:r>
        <w:rPr>
          <w:rFonts w:hint="eastAsia" w:ascii="方正仿宋_GBK"/>
        </w:rPr>
        <w:t>责，落实“问题—交办—处置—核销”的闭环管理机制。</w:t>
      </w:r>
    </w:p>
    <w:p>
      <w:pPr>
        <w:spacing w:line="560" w:lineRule="exact"/>
        <w:ind w:firstLine="632" w:firstLineChars="200"/>
      </w:pPr>
      <w:r>
        <w:rPr>
          <w:b/>
        </w:rPr>
        <w:t>推行林长制工作机制。</w:t>
      </w:r>
      <w:r>
        <w:t>全面</w:t>
      </w:r>
      <w:r>
        <w:rPr>
          <w:rFonts w:hint="eastAsia"/>
        </w:rPr>
        <w:t>落实</w:t>
      </w:r>
      <w:r>
        <w:t>推行林长制度，建设配套制度完备、运行机制顺畅的林长制组织体系。</w:t>
      </w:r>
    </w:p>
    <w:p>
      <w:pPr>
        <w:spacing w:line="560" w:lineRule="exact"/>
        <w:ind w:firstLine="632" w:firstLineChars="200"/>
      </w:pPr>
      <w:r>
        <w:rPr>
          <w:b/>
        </w:rPr>
        <w:t>完善环境投诉举报制度。</w:t>
      </w:r>
      <w:r>
        <w:t>建立政府相关部门协作机制，完善环境保护多元参与互动机制；建立环境投诉举报制度，使环境信访投诉权责边界清晰、途径多元、便捷有效。完善社会监督机制。完善环境信访制度。</w:t>
      </w:r>
    </w:p>
    <w:p>
      <w:pPr>
        <w:spacing w:line="560" w:lineRule="exact"/>
        <w:ind w:firstLine="632" w:firstLineChars="200"/>
      </w:pPr>
      <w:r>
        <w:rPr>
          <w:b/>
        </w:rPr>
        <w:t>建立政府相关部门协作机制</w:t>
      </w:r>
      <w:r>
        <w:rPr>
          <w:rFonts w:hint="eastAsia"/>
          <w:b/>
        </w:rPr>
        <w:t>。</w:t>
      </w:r>
      <w:r>
        <w:t>完善政府、企业和社团组织的环境保护参与互动机制；建立环境投诉举报制度。完善共同参与的社会监督机制。完善环境信访制度。设立</w:t>
      </w:r>
      <w:r>
        <w:rPr>
          <w:rFonts w:hint="eastAsia"/>
        </w:rPr>
        <w:t>多渠道</w:t>
      </w:r>
      <w:r>
        <w:t>举报机制，并具备充分运用环保宣教渠道的能力。</w:t>
      </w:r>
    </w:p>
    <w:p>
      <w:pPr>
        <w:spacing w:line="560" w:lineRule="exact"/>
        <w:ind w:firstLine="632" w:firstLineChars="200"/>
        <w:rPr>
          <w:rFonts w:hint="eastAsia"/>
        </w:rPr>
      </w:pPr>
      <w:bookmarkStart w:id="84" w:name="_Toc16698"/>
      <w:r>
        <w:rPr>
          <w:rFonts w:hint="eastAsia"/>
        </w:rPr>
        <w:t>5</w:t>
      </w:r>
      <w:r>
        <w:t>﹒建立健全现代环境治理体系</w:t>
      </w:r>
      <w:bookmarkEnd w:id="84"/>
      <w:r>
        <w:rPr>
          <w:rFonts w:hint="eastAsia"/>
        </w:rPr>
        <w:t>。</w:t>
      </w:r>
    </w:p>
    <w:p>
      <w:pPr>
        <w:spacing w:line="560" w:lineRule="exact"/>
        <w:ind w:firstLine="632" w:firstLineChars="200"/>
      </w:pPr>
      <w:r>
        <w:rPr>
          <w:b/>
        </w:rPr>
        <w:t>健全环境治理领导责任体系。</w:t>
      </w:r>
      <w:r>
        <w:rPr>
          <w:rFonts w:hint="eastAsia"/>
        </w:rPr>
        <w:t>县生态安全暨生态环境保护工作领导小组负责全县生态环</w:t>
      </w:r>
      <w:r>
        <w:rPr>
          <w:rFonts w:hint="eastAsia" w:ascii="方正仿宋_GBK"/>
        </w:rPr>
        <w:t>境保护工作，定期研究解决生态环境保护重大问题，对党政主体进行综合考核。将生态环境</w:t>
      </w:r>
      <w:r>
        <w:t>保护要求融入经济社会发展决策全过程，用经济和环境</w:t>
      </w:r>
      <w:r>
        <w:rPr>
          <w:rFonts w:hint="eastAsia" w:ascii="方正仿宋_GBK"/>
        </w:rPr>
        <w:t>“双指标”综</w:t>
      </w:r>
      <w:r>
        <w:t>合评价区域发展质量。提高经济社会发展综合考核中生态环境保护指标比重。</w:t>
      </w:r>
    </w:p>
    <w:p>
      <w:pPr>
        <w:spacing w:line="560" w:lineRule="exact"/>
        <w:ind w:firstLine="632" w:firstLineChars="200"/>
      </w:pPr>
      <w:r>
        <w:rPr>
          <w:b/>
        </w:rPr>
        <w:t>探索环境治理企业责任体系。</w:t>
      </w:r>
      <w:r>
        <w:t>完善企业环保信用评价制度。进一步加大对企业的监管力度，充分利用新闻媒体，对一些典型环境违法案件进行公开曝光，发挥新闻舆论的监督作用。</w:t>
      </w:r>
    </w:p>
    <w:p>
      <w:pPr>
        <w:spacing w:line="560" w:lineRule="exact"/>
        <w:ind w:firstLine="632" w:firstLineChars="200"/>
      </w:pPr>
      <w:r>
        <w:rPr>
          <w:b/>
        </w:rPr>
        <w:t>严格环境执法与监管制度。</w:t>
      </w:r>
      <w:r>
        <w:t>坚持以人为本，强化城镇环境监督管理，树立正确的执法目的，创新环境执法监管的手段与方式，提高行政执法的能力。继续开展环保行动，加强监督检查，加大对环境违法行为的处罚力度。加强对危险废物的环境管理。</w:t>
      </w:r>
    </w:p>
    <w:p>
      <w:pPr>
        <w:spacing w:line="560" w:lineRule="exact"/>
        <w:ind w:firstLine="632" w:firstLineChars="200"/>
        <w:rPr>
          <w:rFonts w:hint="eastAsia" w:ascii="方正楷体_GBK" w:eastAsia="方正楷体_GBK"/>
        </w:rPr>
      </w:pPr>
      <w:bookmarkStart w:id="85" w:name="_Toc29123"/>
      <w:bookmarkStart w:id="86" w:name="_Toc31976"/>
      <w:bookmarkStart w:id="87" w:name="_Toc29075"/>
      <w:bookmarkStart w:id="88" w:name="_Toc27972"/>
      <w:r>
        <w:rPr>
          <w:rFonts w:hint="eastAsia" w:ascii="方正楷体_GBK" w:eastAsia="方正楷体_GBK"/>
        </w:rPr>
        <w:t>（二）生态安全体系建设</w:t>
      </w:r>
      <w:bookmarkEnd w:id="85"/>
      <w:bookmarkEnd w:id="86"/>
      <w:bookmarkEnd w:id="87"/>
      <w:bookmarkEnd w:id="88"/>
      <w:r>
        <w:rPr>
          <w:rFonts w:hint="eastAsia" w:ascii="方正楷体_GBK" w:eastAsia="方正楷体_GBK"/>
        </w:rPr>
        <w:t>。</w:t>
      </w:r>
    </w:p>
    <w:p>
      <w:pPr>
        <w:spacing w:line="560" w:lineRule="exact"/>
        <w:ind w:firstLine="632" w:firstLineChars="200"/>
        <w:rPr>
          <w:rFonts w:hint="eastAsia"/>
        </w:rPr>
      </w:pPr>
      <w:bookmarkStart w:id="89" w:name="_Toc30929"/>
      <w:bookmarkStart w:id="90" w:name="_Toc2527"/>
      <w:bookmarkStart w:id="91" w:name="_Toc22217"/>
      <w:r>
        <w:rPr>
          <w:rFonts w:hint="eastAsia"/>
        </w:rPr>
        <w:t>1</w:t>
      </w:r>
      <w:r>
        <w:t>﹒应对气候变化</w:t>
      </w:r>
      <w:bookmarkEnd w:id="89"/>
      <w:bookmarkEnd w:id="90"/>
      <w:bookmarkEnd w:id="91"/>
      <w:r>
        <w:rPr>
          <w:rFonts w:hint="eastAsia"/>
        </w:rPr>
        <w:t>。</w:t>
      </w:r>
    </w:p>
    <w:p>
      <w:pPr>
        <w:spacing w:line="560" w:lineRule="exact"/>
        <w:ind w:firstLine="632" w:firstLineChars="200"/>
        <w:rPr>
          <w:rFonts w:hint="eastAsia"/>
        </w:rPr>
      </w:pPr>
      <w:bookmarkStart w:id="92" w:name="_Toc9642"/>
      <w:bookmarkStart w:id="93" w:name="_Toc28848"/>
      <w:bookmarkStart w:id="94" w:name="_Toc9825"/>
      <w:r>
        <w:rPr>
          <w:rFonts w:hint="eastAsia"/>
          <w:b/>
        </w:rPr>
        <w:t>落实碳达峰、碳中和任务</w:t>
      </w:r>
      <w:bookmarkEnd w:id="92"/>
      <w:r>
        <w:rPr>
          <w:rFonts w:hint="eastAsia"/>
          <w:b/>
        </w:rPr>
        <w:t>。</w:t>
      </w:r>
      <w:r>
        <w:rPr>
          <w:rFonts w:hint="eastAsia"/>
        </w:rPr>
        <w:t>构建清洁低碳、安全高效的能源体系。强化能源消费强度和总量双控。降低单位产出能源资源消耗和碳排放，提高能源资源投入产出效率。深化重点领域节能。合理进行风能、太阳能开发利用布局。建设绿色低碳交通运输体系。加快淘汰高能耗高排放的老旧车辆，提高新能源汽车和清洁能源车辆的销售比例，加强充</w:t>
      </w:r>
      <w:r>
        <w:rPr>
          <w:rFonts w:hint="eastAsia"/>
          <w:color w:val="000000"/>
        </w:rPr>
        <w:t>电、公共交</w:t>
      </w:r>
      <w:r>
        <w:rPr>
          <w:rFonts w:hint="eastAsia"/>
        </w:rPr>
        <w:t>通基础设施和城市绿色慢性系统的建设。</w:t>
      </w:r>
    </w:p>
    <w:p>
      <w:pPr>
        <w:spacing w:line="560" w:lineRule="exact"/>
        <w:ind w:firstLine="632" w:firstLineChars="200"/>
        <w:rPr>
          <w:rFonts w:hint="eastAsia"/>
        </w:rPr>
      </w:pPr>
      <w:bookmarkStart w:id="95" w:name="_Toc30005"/>
      <w:r>
        <w:rPr>
          <w:rFonts w:hint="eastAsia"/>
          <w:b/>
        </w:rPr>
        <w:t>加强生态系统碳汇能力</w:t>
      </w:r>
      <w:bookmarkEnd w:id="95"/>
      <w:r>
        <w:rPr>
          <w:rFonts w:hint="eastAsia"/>
          <w:b/>
        </w:rPr>
        <w:t>。</w:t>
      </w:r>
      <w:r>
        <w:rPr>
          <w:rFonts w:hint="eastAsia"/>
        </w:rPr>
        <w:t>严守生态保护红线，严控生态空间占用，稳定现有森林、湿地、草地、土壤等生态系统固碳作用。开展山水林田湖草沙一体化保护和修复，推进国土绿化行动。增加森林碳汇，加强森林生态地建设，有效控制水土流失范围，提高森林资源质量。增强草地碳汇，加强草原生态保护和修复，开展草原资源调查和监测，加强湿地信息化监管手段，提升草地管理水平，扩大草地生态补偿范围。推动应对气候变化与生态环境相关管理制度融合。开展温室气体统计核算工作，编制温室气体排放清单，将温室气体管控纳入环评管理。开展碳排放配额分配和清缴，温室气体排放报告的核查等相关活动，并进行监督管理。</w:t>
      </w:r>
      <w:r>
        <w:rPr>
          <w:rFonts w:hint="eastAsia"/>
          <w:color w:val="000000"/>
        </w:rPr>
        <w:t>建立完善低碳产品政府采购、企业二氧化碳排放信息披露等相关制度。推动全县碳汇高质量发展，加大低质低效林改造力度，加强流域岸线修复，</w:t>
      </w:r>
      <w:r>
        <w:rPr>
          <w:rFonts w:hint="eastAsia"/>
        </w:rPr>
        <w:t>着力营造以水土保持、水源涵养为主的生态防护林，增强森林水土保持功能。</w:t>
      </w:r>
    </w:p>
    <w:p>
      <w:pPr>
        <w:spacing w:line="560" w:lineRule="exact"/>
        <w:ind w:firstLine="632" w:firstLineChars="200"/>
      </w:pPr>
      <w:bookmarkStart w:id="96" w:name="_Toc21647"/>
      <w:r>
        <w:rPr>
          <w:rFonts w:hint="eastAsia"/>
          <w:b/>
        </w:rPr>
        <w:t>加强适应气候变化能力</w:t>
      </w:r>
      <w:bookmarkEnd w:id="96"/>
      <w:r>
        <w:rPr>
          <w:rFonts w:hint="eastAsia"/>
          <w:b/>
        </w:rPr>
        <w:t>。</w:t>
      </w:r>
      <w:r>
        <w:rPr>
          <w:rFonts w:hint="eastAsia"/>
        </w:rPr>
        <w:t>实施水资源适应性配置，实行最严格水资源管理制度，落实水资源消耗总量和强度双控要求。大力推进建设节水型社会，优化产业布局和规模。加强水资源优化配置和统一调度。加强重点用水单位监督管理。加强水资源利用和配置工程建设。继续推进灌区续建配套与节水改造建设。加强产业气候适应性，提高农业、林业、旅游业产业气候适应性发展。加大农业基础设施建设；推广生态农业和保护性耕作技术。强化森林林种布局优化，提升森林生态系统稳定性；健全和完善森林火灾预警与响应机制。加强风景名胜资源以及濒危文化和历史古迹的保护与修复工作。</w:t>
      </w:r>
      <w:r>
        <w:rPr>
          <w:color w:val="0000FF"/>
        </w:rPr>
        <w:t>统筹生态系统保护与修复</w:t>
      </w:r>
      <w:bookmarkEnd w:id="93"/>
      <w:bookmarkEnd w:id="94"/>
      <w:r>
        <w:rPr>
          <w:rFonts w:hint="eastAsia"/>
          <w:color w:val="0000FF"/>
        </w:rPr>
        <w:t>。</w:t>
      </w:r>
      <w:r>
        <w:rPr>
          <w:color w:val="0000FF"/>
        </w:rPr>
        <w:t>加强生态系统恢复与保护</w:t>
      </w:r>
      <w:r>
        <w:rPr>
          <w:rFonts w:hint="eastAsia"/>
          <w:color w:val="0000FF"/>
        </w:rPr>
        <w:t>，</w:t>
      </w:r>
      <w:r>
        <w:t>深入实施重大生态修复和建设工程，全面提升森林、水系、湿地、草原等自然生态系统稳定性和生态服务功能。推进</w:t>
      </w:r>
      <w:r>
        <w:rPr>
          <w:rFonts w:hint="eastAsia"/>
          <w:color w:val="000000"/>
        </w:rPr>
        <w:t>“</w:t>
      </w:r>
      <w:r>
        <w:rPr>
          <w:color w:val="000000"/>
        </w:rPr>
        <w:t>山水林田湖草</w:t>
      </w:r>
      <w:r>
        <w:rPr>
          <w:rFonts w:hint="eastAsia"/>
          <w:color w:val="000000"/>
        </w:rPr>
        <w:t>沙”</w:t>
      </w:r>
      <w:r>
        <w:rPr>
          <w:color w:val="000000"/>
        </w:rPr>
        <w:t>生态</w:t>
      </w:r>
      <w:r>
        <w:t>功能系统保护与修复。统筹考虑自然生态各要素，实现整体保护、系统修复、综合治理、科学利用。</w:t>
      </w:r>
    </w:p>
    <w:p>
      <w:pPr>
        <w:spacing w:line="560" w:lineRule="exact"/>
        <w:ind w:firstLine="632" w:firstLineChars="200"/>
        <w:rPr>
          <w:rFonts w:hint="eastAsia"/>
        </w:rPr>
      </w:pPr>
      <w:bookmarkStart w:id="97" w:name="_Toc16357"/>
      <w:bookmarkStart w:id="98" w:name="_Toc20009"/>
      <w:bookmarkStart w:id="99" w:name="_Toc25381"/>
      <w:r>
        <w:rPr>
          <w:rFonts w:hint="eastAsia"/>
        </w:rPr>
        <w:t>2</w:t>
      </w:r>
      <w:r>
        <w:t>﹒水环境质量</w:t>
      </w:r>
      <w:bookmarkEnd w:id="97"/>
      <w:bookmarkEnd w:id="98"/>
      <w:bookmarkEnd w:id="99"/>
      <w:r>
        <w:rPr>
          <w:rFonts w:hint="eastAsia"/>
        </w:rPr>
        <w:t>。</w:t>
      </w:r>
    </w:p>
    <w:p>
      <w:pPr>
        <w:spacing w:line="560" w:lineRule="exact"/>
        <w:ind w:firstLine="632" w:firstLineChars="200"/>
      </w:pPr>
      <w:r>
        <w:t>以水生态环境质量为核心，污染减排和生态扩容两手发力，统筹水资源利用、水生态保护和水环境治理，</w:t>
      </w:r>
      <w:r>
        <w:rPr>
          <w:rFonts w:hint="eastAsia"/>
        </w:rPr>
        <w:t>“</w:t>
      </w:r>
      <w:r>
        <w:t>一河一策</w:t>
      </w:r>
      <w:r>
        <w:rPr>
          <w:rFonts w:hint="eastAsia"/>
        </w:rPr>
        <w:t>”</w:t>
      </w:r>
      <w:r>
        <w:t>精</w:t>
      </w:r>
      <w:r>
        <w:rPr>
          <w:rFonts w:hint="eastAsia" w:ascii="方正仿宋_GBK"/>
        </w:rPr>
        <w:t>准施治。全面落实“</w:t>
      </w:r>
      <w:r>
        <w:rPr>
          <w:rFonts w:hint="eastAsia" w:ascii="方正仿宋_GBK"/>
          <w:color w:val="000000"/>
        </w:rPr>
        <w:t>河（湖）长制”</w:t>
      </w:r>
      <w:r>
        <w:rPr>
          <w:rFonts w:hint="eastAsia" w:ascii="方正仿宋_GBK"/>
          <w:color w:val="0000FF"/>
        </w:rPr>
        <w:t>，</w:t>
      </w:r>
      <w:r>
        <w:rPr>
          <w:rFonts w:hint="eastAsia" w:ascii="方正仿宋_GBK"/>
        </w:rPr>
        <w:t>大力开展“清河行动”、河湖“清四乱”，</w:t>
      </w:r>
      <w:r>
        <w:t>确保出境断面水质优良率为100%。</w:t>
      </w:r>
    </w:p>
    <w:p>
      <w:pPr>
        <w:spacing w:line="560" w:lineRule="exact"/>
        <w:ind w:firstLine="632" w:firstLineChars="200"/>
        <w:rPr>
          <w:rFonts w:hint="eastAsia" w:ascii="方正仿宋_GBK"/>
        </w:rPr>
      </w:pPr>
      <w:r>
        <w:rPr>
          <w:b/>
        </w:rPr>
        <w:t>提升地表水环境治理</w:t>
      </w:r>
      <w:r>
        <w:rPr>
          <w:rFonts w:hint="eastAsia"/>
          <w:b/>
        </w:rPr>
        <w:t>。</w:t>
      </w:r>
      <w:r>
        <w:t>加强城乡生活污水污染防治</w:t>
      </w:r>
      <w:r>
        <w:rPr>
          <w:rFonts w:hint="eastAsia"/>
        </w:rPr>
        <w:t>，</w:t>
      </w:r>
      <w:r>
        <w:t>开展市政雨污水管网深度排查，加快实施雨污分流改造，完善管网规划。推进农村生活污水处理设施建设，配</w:t>
      </w:r>
      <w:r>
        <w:rPr>
          <w:rFonts w:hint="eastAsia" w:ascii="方正仿宋_GBK"/>
        </w:rPr>
        <w:t>套建设污水收集管网。落实《长白朝鲜族自治县农村生活污水治理专项规划》。加快农田水利设施建设，建立高效利用的供水系统及洪、涝、淤兼治的排水系统，实行渠、沟、田、林、路综合治理，积极推行农艺节水技术。完善农村饮水安全工程，推行“一村一网”“多村一网”。加大畜禽养殖废水治理力度，持续推进畜禽养殖废水排放治理，规范畜禽养殖秩序，严格执行“禁养区”相关规定；督促各畜禽养殖场（户）建设完善粪污治理设施，废水达标</w:t>
      </w:r>
      <w:r>
        <w:t>排放。确保断面水质持续改善。推进工业污染防治</w:t>
      </w:r>
      <w:r>
        <w:rPr>
          <w:rFonts w:hint="eastAsia"/>
        </w:rPr>
        <w:t>，</w:t>
      </w:r>
      <w:r>
        <w:t>对重点企业实行实时监控、动态管理，确保污染防治设施正常运行，污染物达标排放。全面推行排污许可制度，依法按总量控制要求发放排污许可证，把总量控制指标分解落实到污染源，确保重点排污单位许可证发放率达到100%</w:t>
      </w:r>
      <w:r>
        <w:rPr>
          <w:rFonts w:hint="eastAsia"/>
        </w:rPr>
        <w:t>。</w:t>
      </w:r>
      <w:r>
        <w:t>加快推进城镇污水管网建设</w:t>
      </w:r>
      <w:r>
        <w:rPr>
          <w:rFonts w:hint="eastAsia"/>
        </w:rPr>
        <w:t>，</w:t>
      </w:r>
      <w:r>
        <w:t>全面开展县城区域排水管网排查和系统化整治</w:t>
      </w:r>
      <w:r>
        <w:rPr>
          <w:rFonts w:hint="eastAsia"/>
        </w:rPr>
        <w:t>，</w:t>
      </w:r>
      <w:r>
        <w:t>2025年底前</w:t>
      </w:r>
      <w:r>
        <w:rPr>
          <w:rFonts w:hint="eastAsia"/>
        </w:rPr>
        <w:t>，</w:t>
      </w:r>
      <w:r>
        <w:t>完成县城雨污合流管网改造</w:t>
      </w:r>
      <w:r>
        <w:rPr>
          <w:rFonts w:hint="eastAsia"/>
        </w:rPr>
        <w:t>，</w:t>
      </w:r>
      <w:r>
        <w:t>基本实现城市</w:t>
      </w:r>
      <w:r>
        <w:rPr>
          <w:rFonts w:hint="eastAsia" w:ascii="方正仿宋_GBK"/>
        </w:rPr>
        <w:t>污水“零直排”。推进农业面源污染防治，探索建立农业面源污染调查监测评估体系，建设农业面源污染监测“一张网”。划分农业面源污染优先控制单元，开展污染源分析与专项整治。完成汛期超标区域农业面源污染状况调查，开展汛前沿河湖垃圾、农作物秸秆、畜禽粪污堆放点清理整治。</w:t>
      </w:r>
    </w:p>
    <w:p>
      <w:pPr>
        <w:spacing w:line="560" w:lineRule="exact"/>
        <w:ind w:firstLine="632" w:firstLineChars="200"/>
      </w:pPr>
      <w:r>
        <w:rPr>
          <w:b/>
        </w:rPr>
        <w:t>促进水资源可持续发展</w:t>
      </w:r>
      <w:r>
        <w:rPr>
          <w:rFonts w:hint="eastAsia"/>
          <w:b/>
        </w:rPr>
        <w:t>。</w:t>
      </w:r>
      <w:r>
        <w:t>优化用水结构</w:t>
      </w:r>
      <w:r>
        <w:rPr>
          <w:rFonts w:hint="eastAsia"/>
        </w:rPr>
        <w:t>，</w:t>
      </w:r>
      <w:r>
        <w:t>对用水进行统筹和优化配置。整体优化水资源供给结构</w:t>
      </w:r>
      <w:r>
        <w:rPr>
          <w:rFonts w:hint="eastAsia"/>
        </w:rPr>
        <w:t>，</w:t>
      </w:r>
      <w:r>
        <w:t>注重水资源涵养，严格控制地下水开采，增强地表水调蓄能力，提高再生水利用比例。加强水源保护区</w:t>
      </w:r>
      <w:r>
        <w:rPr>
          <w:rFonts w:hint="eastAsia"/>
        </w:rPr>
        <w:t>保护</w:t>
      </w:r>
      <w:r>
        <w:t>。加快农村地区水源调查评估和保护区划定，加强水源地水质检测，开展水源环境风险排查整治。推进区域再生水循环利用</w:t>
      </w:r>
      <w:r>
        <w:rPr>
          <w:rFonts w:hint="eastAsia"/>
        </w:rPr>
        <w:t>，</w:t>
      </w:r>
      <w:r>
        <w:t>推进达标排放与中水回用，发展节水型工业，依法实行强制清洁生产审核。推动优先使用再生水</w:t>
      </w:r>
      <w:r>
        <w:rPr>
          <w:rFonts w:hint="eastAsia"/>
        </w:rPr>
        <w:t>工作</w:t>
      </w:r>
      <w:r>
        <w:t>，构建城镇良性水循环系统。抓好工业节水、农业节水及城镇生活节水，全面推动节水型社会建设。完善区域再生水循环利用体系，提升再生水利用效能。严格新建项目取水许可审批，具备使用再生水条件，但未有效利用的，不予审批其新增取水许可。</w:t>
      </w:r>
    </w:p>
    <w:p>
      <w:pPr>
        <w:spacing w:line="560" w:lineRule="exact"/>
        <w:ind w:firstLine="632" w:firstLineChars="200"/>
      </w:pPr>
      <w:r>
        <w:rPr>
          <w:b/>
        </w:rPr>
        <w:t>加强流域治理，实施河湖生态修复</w:t>
      </w:r>
      <w:r>
        <w:rPr>
          <w:rFonts w:hint="eastAsia"/>
          <w:b/>
        </w:rPr>
        <w:t>。</w:t>
      </w:r>
      <w:r>
        <w:t>实施河湖生态修复</w:t>
      </w:r>
      <w:r>
        <w:rPr>
          <w:rFonts w:hint="eastAsia"/>
        </w:rPr>
        <w:t>，</w:t>
      </w:r>
      <w:r>
        <w:t>划定河湖边界线及岸线保护带，因地制宜建设河湖生态隔离带或生态缓冲带，恢复河湖岸线生态系统的结构和功能。稳步推进美丽河湖保护和建设。强化流域污染联防联控</w:t>
      </w:r>
      <w:r>
        <w:rPr>
          <w:rFonts w:hint="eastAsia"/>
        </w:rPr>
        <w:t>，落实</w:t>
      </w:r>
      <w:r>
        <w:t>《长白朝鲜族自治县重点流域水生态</w:t>
      </w:r>
      <w:r>
        <w:rPr>
          <w:rFonts w:hint="eastAsia" w:ascii="方正仿宋_GBK"/>
        </w:rPr>
        <w:t>环境保护“十四五”规划</w:t>
      </w:r>
      <w:r>
        <w:t>》</w:t>
      </w:r>
      <w:r>
        <w:rPr>
          <w:rFonts w:hint="eastAsia"/>
        </w:rPr>
        <w:t>，</w:t>
      </w:r>
      <w:r>
        <w:t>实施流域内控制单元差异化治理。建立健全鸭绿江流域上下游突发水污染事件联防联控机制</w:t>
      </w:r>
      <w:r>
        <w:rPr>
          <w:rFonts w:hint="eastAsia"/>
        </w:rPr>
        <w:t>，</w:t>
      </w:r>
      <w:r>
        <w:t>防范重大生态环境风险</w:t>
      </w:r>
      <w:r>
        <w:rPr>
          <w:rFonts w:hint="eastAsia"/>
        </w:rPr>
        <w:t>，</w:t>
      </w:r>
      <w:r>
        <w:t>编制环境风险应急预案。统筹治理流域水生态系统</w:t>
      </w:r>
      <w:r>
        <w:rPr>
          <w:rFonts w:hint="eastAsia"/>
        </w:rPr>
        <w:t>，</w:t>
      </w:r>
      <w:r>
        <w:t>针对八道沟河、十五道</w:t>
      </w:r>
      <w:r>
        <w:rPr>
          <w:rFonts w:hint="eastAsia" w:ascii="方正仿宋_GBK"/>
        </w:rPr>
        <w:t>沟河、十六道沟河、十九道沟河、二十三道沟河等主要水系污染，采取“控源截污、垃圾清理、清淤疏浚、生态修复”等措施，加</w:t>
      </w:r>
      <w:r>
        <w:t>强水环境综合治理，恢复河湖水域岸线生态功能。强化入河排污口整治</w:t>
      </w:r>
      <w:r>
        <w:rPr>
          <w:rFonts w:hint="eastAsia"/>
        </w:rPr>
        <w:t>，</w:t>
      </w:r>
      <w:r>
        <w:t>推进入河排污口管理工作，精确识别各流域突出水环境问题及其成因，制定有针对性的污染治理措施与管理方案。到2025年底，建立科学有效的入河排污口设置和监督管理体系。</w:t>
      </w:r>
    </w:p>
    <w:p>
      <w:pPr>
        <w:spacing w:line="560" w:lineRule="exact"/>
        <w:ind w:firstLine="632" w:firstLineChars="200"/>
      </w:pPr>
      <w:r>
        <w:rPr>
          <w:b/>
        </w:rPr>
        <w:t>强化风险防控和系统治理</w:t>
      </w:r>
      <w:r>
        <w:rPr>
          <w:rFonts w:hint="eastAsia"/>
          <w:b/>
        </w:rPr>
        <w:t>。</w:t>
      </w:r>
      <w:r>
        <w:t>保障饮用水水源地环境安全</w:t>
      </w:r>
      <w:r>
        <w:rPr>
          <w:rFonts w:hint="eastAsia"/>
        </w:rPr>
        <w:t>，</w:t>
      </w:r>
      <w:r>
        <w:t>加强集中式饮用水水源地规范化建设。加强农村水源地保护。以</w:t>
      </w:r>
      <w:r>
        <w:rPr>
          <w:rFonts w:hint="eastAsia"/>
        </w:rPr>
        <w:t>长白朝鲜族自治县</w:t>
      </w:r>
      <w:r>
        <w:t>二十三道沟水源地等为重点，加强饮用水水源地预警监控能力建设，制</w:t>
      </w:r>
      <w:r>
        <w:rPr>
          <w:rFonts w:hint="eastAsia"/>
        </w:rPr>
        <w:t>订</w:t>
      </w:r>
      <w:r>
        <w:t>应急预案，保障区域供水安全。提高水环境风险防控能力</w:t>
      </w:r>
      <w:r>
        <w:rPr>
          <w:rFonts w:hint="eastAsia"/>
        </w:rPr>
        <w:t>，</w:t>
      </w:r>
      <w:r>
        <w:t>制</w:t>
      </w:r>
      <w:r>
        <w:rPr>
          <w:rFonts w:hint="eastAsia"/>
        </w:rPr>
        <w:t>订</w:t>
      </w:r>
      <w:r>
        <w:t>应对不同风险源的应急预案，有效应对各类水环境事件风险，储备必要的应急物资。编制饮用水水源地突发污染事件应急预案，建立一源一册水源档案。定期修订应急预案，明确应急预案中应急队伍建设目标和应急演练计划安排，制定各年度应急演练计划。</w:t>
      </w:r>
    </w:p>
    <w:p>
      <w:pPr>
        <w:spacing w:line="560" w:lineRule="exact"/>
        <w:ind w:firstLine="632" w:firstLineChars="200"/>
      </w:pPr>
      <w:bookmarkStart w:id="100" w:name="_Toc28745"/>
      <w:bookmarkStart w:id="101" w:name="_Toc5230"/>
      <w:r>
        <w:rPr>
          <w:rFonts w:hint="eastAsia"/>
        </w:rPr>
        <w:t>3</w:t>
      </w:r>
      <w:r>
        <w:t>﹒</w:t>
      </w:r>
      <w:r>
        <w:rPr>
          <w:rFonts w:hint="eastAsia"/>
        </w:rPr>
        <w:t>大气环境质量</w:t>
      </w:r>
      <w:bookmarkEnd w:id="100"/>
      <w:r>
        <w:rPr>
          <w:rFonts w:hint="eastAsia"/>
        </w:rPr>
        <w:t>。</w:t>
      </w:r>
    </w:p>
    <w:p>
      <w:pPr>
        <w:spacing w:line="560" w:lineRule="exact"/>
        <w:ind w:firstLine="632" w:firstLineChars="200"/>
      </w:pPr>
      <w:r>
        <w:rPr>
          <w:b/>
        </w:rPr>
        <w:t>持续开展工业源治理</w:t>
      </w:r>
      <w:bookmarkEnd w:id="101"/>
      <w:r>
        <w:rPr>
          <w:rFonts w:hint="eastAsia"/>
          <w:b/>
        </w:rPr>
        <w:t>。</w:t>
      </w:r>
      <w:r>
        <w:t>加强挥发性有机物污染控制</w:t>
      </w:r>
      <w:r>
        <w:rPr>
          <w:rFonts w:hint="eastAsia"/>
        </w:rPr>
        <w:t>，</w:t>
      </w:r>
      <w:r>
        <w:t>积极推进现有重点排污行业的大气全面实施治理，全面实施挥发性有机物总量控制。推进生活源挥发性有机物污染治理，积极推动生活源挥发性有机物排放控制工作。建立健全加油站监管</w:t>
      </w:r>
      <w:r>
        <w:rPr>
          <w:rFonts w:hint="eastAsia"/>
        </w:rPr>
        <w:t>制度</w:t>
      </w:r>
      <w:r>
        <w:t>。开展涉挥发性有机物排查。推进部分行业超低排放改造</w:t>
      </w:r>
      <w:r>
        <w:rPr>
          <w:rFonts w:hint="eastAsia"/>
        </w:rPr>
        <w:t>，</w:t>
      </w:r>
      <w:r>
        <w:t>强化源头防控，鼓励企业采用先进适用的清洁生产</w:t>
      </w:r>
      <w:r>
        <w:rPr>
          <w:rFonts w:hint="eastAsia"/>
        </w:rPr>
        <w:t>技术和设备</w:t>
      </w:r>
      <w:r>
        <w:t>。结合《吉林省空气、水环境、土壤环境质量巩固提升三个行动方案》及后续工作部署，有计划完成全</w:t>
      </w:r>
      <w:r>
        <w:rPr>
          <w:rFonts w:hint="eastAsia"/>
        </w:rPr>
        <w:t>县</w:t>
      </w:r>
      <w:r>
        <w:t>电力、热力产业超低排放改造任务，全部安装在线自动监控设施并</w:t>
      </w:r>
      <w:r>
        <w:rPr>
          <w:color w:val="000000"/>
        </w:rPr>
        <w:t>与</w:t>
      </w:r>
      <w:r>
        <w:rPr>
          <w:rFonts w:hint="eastAsia"/>
          <w:color w:val="000000"/>
        </w:rPr>
        <w:t>生态</w:t>
      </w:r>
      <w:r>
        <w:rPr>
          <w:color w:val="000000"/>
        </w:rPr>
        <w:t>部门</w:t>
      </w:r>
      <w:r>
        <w:t>联网，确保污染物达标排放。</w:t>
      </w:r>
    </w:p>
    <w:p>
      <w:pPr>
        <w:spacing w:line="560" w:lineRule="exact"/>
        <w:ind w:firstLine="632" w:firstLineChars="200"/>
      </w:pPr>
      <w:bookmarkStart w:id="102" w:name="_Toc28863"/>
      <w:r>
        <w:rPr>
          <w:b/>
        </w:rPr>
        <w:t>深化面源污染治理</w:t>
      </w:r>
      <w:bookmarkEnd w:id="102"/>
      <w:r>
        <w:rPr>
          <w:rFonts w:hint="eastAsia"/>
          <w:b/>
        </w:rPr>
        <w:t>。</w:t>
      </w:r>
      <w:r>
        <w:t>全面加强秸秆禁烧管控。开展重点时段秸秆禁烧专项巡查。严格实行全域禁烧，严厉打击违法违规露天焚烧行为。运用信息化手段，及时发现和处置违规焚烧问题。积极</w:t>
      </w:r>
      <w:r>
        <w:rPr>
          <w:rFonts w:hint="eastAsia" w:ascii="方正仿宋_GBK"/>
        </w:rPr>
        <w:t>推广秸秆“五化”综</w:t>
      </w:r>
      <w:r>
        <w:t>合利用技术。鼓励企业和社会组织组建专业化秸秆收储运机构。加强施工工地扬尘日常监管。加强道路扬尘污染控制，减少道路扬尘污染。开展城市扬尘专项整治行动，加大城市道路扬尘管控力度，保持道路洁净，积极推行城市道路机械化清扫；加强城市道路管理，对城市道路红线范围内裸露土质路面进行硬化处理，对破损部位及时维修，确保道路平整、完好，排水通畅。</w:t>
      </w:r>
    </w:p>
    <w:p>
      <w:pPr>
        <w:spacing w:line="560" w:lineRule="exact"/>
        <w:ind w:firstLine="632" w:firstLineChars="200"/>
      </w:pPr>
      <w:bookmarkStart w:id="103" w:name="_Toc28527"/>
      <w:r>
        <w:rPr>
          <w:b/>
        </w:rPr>
        <w:t>全面整治城镇餐饮油烟污染</w:t>
      </w:r>
      <w:bookmarkEnd w:id="103"/>
      <w:r>
        <w:rPr>
          <w:rFonts w:hint="eastAsia"/>
          <w:b/>
        </w:rPr>
        <w:t>。</w:t>
      </w:r>
      <w:r>
        <w:t>摸排建档，实施动态管理。分区域登记商家有关经营信息，建立</w:t>
      </w:r>
      <w:r>
        <w:rPr>
          <w:rFonts w:hint="eastAsia" w:ascii="方正仿宋_GBK"/>
        </w:rPr>
        <w:t>健全“一店一档”台</w:t>
      </w:r>
      <w:r>
        <w:t>账资料，及时更新台账。加快出台和完善餐饮业的专门管理办法，制定油烟污染防治规范性管理条例和长效保障机制。规范安装油烟净化设施。督促指导建成区内排放油烟的规模以上餐饮经营场所全部安装并正常运行油烟净化设施，定期清理维护油烟净化设施，确保油烟达标排放。规范烧烤管理。依法依规查处、取缔无证照露天烧烤、夜宵摊</w:t>
      </w:r>
      <w:r>
        <w:rPr>
          <w:rFonts w:hint="eastAsia"/>
        </w:rPr>
        <w:t>（</w:t>
      </w:r>
      <w:r>
        <w:t>门店），整治餐饮服务行业出店、占道经营行为。取缔无油烟处理设施的烧烤摊位，城市建成区依法禁止露天烧烤。</w:t>
      </w:r>
    </w:p>
    <w:p>
      <w:pPr>
        <w:spacing w:line="560" w:lineRule="exact"/>
        <w:ind w:firstLine="632" w:firstLineChars="200"/>
        <w:rPr>
          <w:rFonts w:hint="eastAsia"/>
        </w:rPr>
      </w:pPr>
      <w:bookmarkStart w:id="104" w:name="_Toc28581"/>
      <w:bookmarkStart w:id="105" w:name="_Toc21897"/>
      <w:bookmarkStart w:id="106" w:name="_Toc27689"/>
      <w:r>
        <w:rPr>
          <w:rFonts w:hint="eastAsia"/>
        </w:rPr>
        <w:t>4</w:t>
      </w:r>
      <w:r>
        <w:t>﹒推进土壤污染防治</w:t>
      </w:r>
      <w:bookmarkEnd w:id="104"/>
      <w:bookmarkEnd w:id="105"/>
      <w:bookmarkEnd w:id="106"/>
      <w:r>
        <w:rPr>
          <w:rFonts w:hint="eastAsia"/>
        </w:rPr>
        <w:t>。</w:t>
      </w:r>
    </w:p>
    <w:p>
      <w:pPr>
        <w:spacing w:line="560" w:lineRule="exact"/>
        <w:ind w:firstLine="632" w:firstLineChars="200"/>
      </w:pPr>
      <w:bookmarkStart w:id="107" w:name="_Toc205"/>
      <w:bookmarkStart w:id="108" w:name="_Toc5286"/>
      <w:r>
        <w:t>以全县土壤环境质量明显改善为目标，逐步完善土壤环境监测网络与土壤环境信息共享机制，定期更新农用地环境质量分类清单，动态管理污染地块名录及其开放利用的负面清单，严格建设用地准入管理，以常规污染物及有机污染物为防控重点，全面管控土壤环境风险，实现土壤环境质量稳步提升。</w:t>
      </w:r>
    </w:p>
    <w:p>
      <w:pPr>
        <w:spacing w:line="560" w:lineRule="exact"/>
        <w:ind w:firstLine="632" w:firstLineChars="200"/>
      </w:pPr>
      <w:r>
        <w:rPr>
          <w:b/>
        </w:rPr>
        <w:t>建立建设用地调查评估制度</w:t>
      </w:r>
      <w:r>
        <w:rPr>
          <w:rFonts w:hint="eastAsia"/>
          <w:b/>
        </w:rPr>
        <w:t>。</w:t>
      </w:r>
      <w:r>
        <w:t>建立</w:t>
      </w:r>
      <w:r>
        <w:rPr>
          <w:rFonts w:hint="eastAsia"/>
        </w:rPr>
        <w:t>长白朝鲜族自治县</w:t>
      </w:r>
      <w:r>
        <w:t>新增建设用地的强制调查、评估与备案制度以摸清污染现状。排放重点污染物的建设项目，在开展环境影响评价时，增加对土壤环境影响的评价内容，并提出防范土壤污染的具体措施。</w:t>
      </w:r>
    </w:p>
    <w:p>
      <w:pPr>
        <w:spacing w:line="560" w:lineRule="exact"/>
        <w:ind w:firstLine="632" w:firstLineChars="200"/>
      </w:pPr>
      <w:r>
        <w:rPr>
          <w:b/>
        </w:rPr>
        <w:t>实施土壤分类别分用途管理</w:t>
      </w:r>
      <w:r>
        <w:rPr>
          <w:rFonts w:hint="eastAsia"/>
          <w:b/>
        </w:rPr>
        <w:t>。</w:t>
      </w:r>
      <w:r>
        <w:t>实施农用地分类别管理。按污染程度将农用地</w:t>
      </w:r>
      <w:r>
        <w:rPr>
          <w:rFonts w:hint="eastAsia"/>
        </w:rPr>
        <w:t>进行分类</w:t>
      </w:r>
      <w:r>
        <w:t>。对符合条件的优先保护类耕地划为永久基本农田，实行严格保护。对安全利用类农用地，制定并实施受污染耕地安全利用方案。定期开展土壤和农产品协同监测与评价，降低农产品超标风险安全。对严格管控类农用地，制定风险管控方案。严格农用地土壤污染防治。推进农用地分类利用，对优先保护类耕地加大保护力度，确保其面积不减少、土壤环境质量不下降；针对安全利用类和严格管控类耕地，根据省、市要求落实安全利用方案，全面落实安全利用和严格管控措施。</w:t>
      </w:r>
    </w:p>
    <w:p>
      <w:pPr>
        <w:spacing w:line="560" w:lineRule="exact"/>
        <w:ind w:firstLine="632" w:firstLineChars="200"/>
      </w:pPr>
      <w:r>
        <w:rPr>
          <w:b/>
        </w:rPr>
        <w:t>推动建设用地污染场地修复</w:t>
      </w:r>
      <w:r>
        <w:rPr>
          <w:rFonts w:hint="eastAsia"/>
          <w:b/>
        </w:rPr>
        <w:t>。</w:t>
      </w:r>
      <w:r>
        <w:t>严格建设用地准入管理。对列入土壤污染风险管控和修复名录的地块，不得作为住宅、公共管理与公共服务用地。对未达到风险管控、修复目标的地块，禁止开工建设任何与风险管控、修复无关的项目</w:t>
      </w:r>
      <w:r>
        <w:rPr>
          <w:rFonts w:hint="eastAsia"/>
        </w:rPr>
        <w:t>，</w:t>
      </w:r>
      <w:r>
        <w:t>不得批准环境影响评价技术文件、建设工程规划许可证等事项。建立土壤污染源头预防和风险管控体系。建立疑似污染地块名单和建设用地土壤污染修复名录，完善土壤污染重点监管单位名录，定期对重点污染源周边土壤、地下水开展监督性监测，督促企业落实主体责任，定期开展污染隐患排查，防止土壤和地下水污染。落实未利用地环境监管。按照科学有序原则开发利用未利用地，防止造成土壤污染。依法严查向未利用地非法排污、倾倒有毒有害物质的环境违法行为。加强对矿山开采活动影响区域内未利用地的环境监管。加快工矿污染地块治理与修复。督促矿山企业依法依规编制矿</w:t>
      </w:r>
      <w:r>
        <w:rPr>
          <w:rFonts w:hint="eastAsia" w:ascii="方正仿宋_GBK"/>
        </w:rPr>
        <w:t>山地质环境保护和土地复垦方案。对工矿企业污染的土壤，按照“谁污染，谁治理”的原则</w:t>
      </w:r>
      <w:r>
        <w:t>，进行原位或异位处理。</w:t>
      </w:r>
    </w:p>
    <w:p>
      <w:pPr>
        <w:spacing w:line="560" w:lineRule="exact"/>
        <w:ind w:firstLine="632" w:firstLineChars="200"/>
        <w:rPr>
          <w:rFonts w:hint="eastAsia"/>
        </w:rPr>
      </w:pPr>
      <w:bookmarkStart w:id="109" w:name="_Toc1041"/>
      <w:r>
        <w:rPr>
          <w:rFonts w:hint="eastAsia"/>
        </w:rPr>
        <w:t>5</w:t>
      </w:r>
      <w:r>
        <w:t>﹒加强声环境质量控制</w:t>
      </w:r>
      <w:bookmarkEnd w:id="107"/>
      <w:bookmarkEnd w:id="108"/>
      <w:bookmarkEnd w:id="109"/>
      <w:r>
        <w:rPr>
          <w:rFonts w:hint="eastAsia"/>
        </w:rPr>
        <w:t>。</w:t>
      </w:r>
    </w:p>
    <w:p>
      <w:pPr>
        <w:spacing w:line="560" w:lineRule="exact"/>
        <w:ind w:firstLine="632" w:firstLineChars="200"/>
      </w:pPr>
      <w:r>
        <w:t>贯彻落实国家《声环境质量标准》</w:t>
      </w:r>
      <w:r>
        <w:rPr>
          <w:rFonts w:hint="eastAsia"/>
        </w:rPr>
        <w:t>（</w:t>
      </w:r>
      <w:r>
        <w:t>CB3096</w:t>
      </w:r>
      <w:r>
        <w:rPr>
          <w:rFonts w:hint="eastAsia"/>
        </w:rPr>
        <w:t>—</w:t>
      </w:r>
      <w:r>
        <w:t>2008），严格执法，控制社会噪声和商业噪声。加强城市绿化建设，提高绿化水平，减少城市噪声。环境噪声在中心城区昼间</w:t>
      </w:r>
      <w:r>
        <w:rPr>
          <w:rFonts w:hint="eastAsia"/>
        </w:rPr>
        <w:t>≤</w:t>
      </w:r>
      <w:r>
        <w:t>60dB</w:t>
      </w:r>
      <w:r>
        <w:rPr>
          <w:rFonts w:hint="eastAsia"/>
        </w:rPr>
        <w:t>（</w:t>
      </w:r>
      <w:r>
        <w:t>A），夜间</w:t>
      </w:r>
      <w:r>
        <w:rPr>
          <w:rFonts w:hint="eastAsia"/>
        </w:rPr>
        <w:t>≤</w:t>
      </w:r>
      <w:r>
        <w:t>50dB</w:t>
      </w:r>
      <w:r>
        <w:rPr>
          <w:rFonts w:hint="eastAsia"/>
        </w:rPr>
        <w:t>（</w:t>
      </w:r>
      <w:r>
        <w:t>A）；农村地区昼间</w:t>
      </w:r>
      <w:r>
        <w:rPr>
          <w:rFonts w:hint="eastAsia"/>
        </w:rPr>
        <w:t>≤</w:t>
      </w:r>
      <w:r>
        <w:t>55dB</w:t>
      </w:r>
      <w:r>
        <w:rPr>
          <w:rFonts w:hint="eastAsia"/>
        </w:rPr>
        <w:t>（</w:t>
      </w:r>
      <w:r>
        <w:t>A），夜间</w:t>
      </w:r>
      <w:r>
        <w:rPr>
          <w:rFonts w:hint="eastAsia"/>
        </w:rPr>
        <w:t>≤</w:t>
      </w:r>
      <w:r>
        <w:t>45dB</w:t>
      </w:r>
      <w:r>
        <w:rPr>
          <w:rFonts w:hint="eastAsia"/>
        </w:rPr>
        <w:t>（</w:t>
      </w:r>
      <w:r>
        <w:t>A）：保护区噪声昼间</w:t>
      </w:r>
      <w:r>
        <w:rPr>
          <w:rFonts w:hint="eastAsia"/>
        </w:rPr>
        <w:t>≤</w:t>
      </w:r>
      <w:r>
        <w:t>50dB</w:t>
      </w:r>
      <w:r>
        <w:rPr>
          <w:rFonts w:hint="eastAsia"/>
        </w:rPr>
        <w:t>（</w:t>
      </w:r>
      <w:r>
        <w:t>A），夜间</w:t>
      </w:r>
      <w:r>
        <w:rPr>
          <w:rFonts w:hint="eastAsia"/>
        </w:rPr>
        <w:t>≤</w:t>
      </w:r>
      <w:r>
        <w:t>40dB</w:t>
      </w:r>
      <w:r>
        <w:rPr>
          <w:rFonts w:hint="eastAsia"/>
        </w:rPr>
        <w:t>（</w:t>
      </w:r>
      <w:r>
        <w:t>A）；交通干线区域噪声</w:t>
      </w:r>
      <w:r>
        <w:rPr>
          <w:rFonts w:hint="eastAsia"/>
        </w:rPr>
        <w:t>≤</w:t>
      </w:r>
      <w:r>
        <w:t>7OdB</w:t>
      </w:r>
      <w:r>
        <w:rPr>
          <w:rFonts w:hint="eastAsia"/>
        </w:rPr>
        <w:t>（</w:t>
      </w:r>
      <w:r>
        <w:t>A）。各功能区噪声不超过各类功能区标准限制。</w:t>
      </w:r>
    </w:p>
    <w:p>
      <w:pPr>
        <w:spacing w:line="560" w:lineRule="exact"/>
        <w:ind w:firstLine="632" w:firstLineChars="200"/>
      </w:pPr>
      <w:r>
        <w:rPr>
          <w:b/>
        </w:rPr>
        <w:t>完善声功能分区管控机制。</w:t>
      </w:r>
      <w:r>
        <w:t>依据《声环境功能区划分技术规范》，开展中心城区声环境质量功能区划，科学确定区划单元，编制区划方案</w:t>
      </w:r>
      <w:r>
        <w:rPr>
          <w:rFonts w:hint="eastAsia"/>
        </w:rPr>
        <w:t>，</w:t>
      </w:r>
      <w:r>
        <w:t>绘制区划图并向社会公开。2025年基本建立声环境质量管控机制，适时开展声环境功能区划评估，2030年实现声环境质量全面改善。</w:t>
      </w:r>
    </w:p>
    <w:p>
      <w:pPr>
        <w:spacing w:line="560" w:lineRule="exact"/>
        <w:ind w:firstLine="632" w:firstLineChars="200"/>
      </w:pPr>
      <w:r>
        <w:rPr>
          <w:b/>
        </w:rPr>
        <w:t>交通噪声污染防治。</w:t>
      </w:r>
      <w:r>
        <w:t>优先发展绿色公共交通，倡导绿色出行。加强机动车噪声污染监管，实行道路网格化管理。</w:t>
      </w:r>
    </w:p>
    <w:p>
      <w:pPr>
        <w:spacing w:line="560" w:lineRule="exact"/>
        <w:ind w:firstLine="632" w:firstLineChars="200"/>
      </w:pPr>
      <w:r>
        <w:rPr>
          <w:b/>
        </w:rPr>
        <w:t>工业企业噪声污染防治。</w:t>
      </w:r>
      <w:r>
        <w:t>严格新项目审批和执法监管，强化工业噪声污染源头控制，合理规划和调整生产空间布局。强化居民集中区工业生产项目的新建、改建、扩建的环境影响评价审批，严格建设项目环境噪</w:t>
      </w:r>
      <w:r>
        <w:rPr>
          <w:rFonts w:hint="eastAsia" w:ascii="方正仿宋_GBK"/>
        </w:rPr>
        <w:t>声“三同时”验收</w:t>
      </w:r>
      <w:r>
        <w:t>管理。在工业企业周边设置绿化隔离带，加强绿化建设，提高绿化覆盖率。</w:t>
      </w:r>
    </w:p>
    <w:p>
      <w:pPr>
        <w:spacing w:line="560" w:lineRule="exact"/>
        <w:ind w:firstLine="632" w:firstLineChars="200"/>
      </w:pPr>
      <w:r>
        <w:rPr>
          <w:b/>
        </w:rPr>
        <w:t>建筑施工噪声污染防治。</w:t>
      </w:r>
      <w:r>
        <w:t>加强建筑工地管理，建筑施工阶段的噪声排放必须符合国家《建筑施工场界噪声排放标准》。禁止超标扰民的施工方式，加大建筑施工噪声夜间巡查力度。加强有关职能部门相互协作，认真开展施工现场监督管理和执法工作，促进噪声扰民信访的有效处理。</w:t>
      </w:r>
    </w:p>
    <w:p>
      <w:pPr>
        <w:spacing w:line="560" w:lineRule="exact"/>
        <w:ind w:firstLine="632" w:firstLineChars="200"/>
      </w:pPr>
      <w:r>
        <w:rPr>
          <w:b/>
        </w:rPr>
        <w:t>社会生活噪声污染防治。</w:t>
      </w:r>
      <w:r>
        <w:t>按《城市区域环境噪声标准》要求，具体划定不同区域适用的标准种类，同时在醒目位置公示明确标准种类昼间、夜间的具体时间范围。加强宣传教育，提高居民声环境保护意识。减少居民区房屋装修、家庭娱乐等活动对周边居民的噪声污染。</w:t>
      </w:r>
    </w:p>
    <w:p>
      <w:pPr>
        <w:spacing w:line="560" w:lineRule="exact"/>
        <w:ind w:firstLine="632" w:firstLineChars="200"/>
      </w:pPr>
      <w:bookmarkStart w:id="110" w:name="_Toc16814"/>
      <w:r>
        <w:t>6</w:t>
      </w:r>
      <w:r>
        <w:rPr>
          <w:rFonts w:hint="eastAsia" w:ascii="方正仿宋_GBK"/>
        </w:rPr>
        <w:t>﹒</w:t>
      </w:r>
      <w:r>
        <w:rPr>
          <w:rFonts w:hint="eastAsia"/>
        </w:rPr>
        <w:t>生态系统保护与修复</w:t>
      </w:r>
      <w:bookmarkEnd w:id="110"/>
      <w:r>
        <w:rPr>
          <w:rFonts w:hint="eastAsia"/>
        </w:rPr>
        <w:t>。</w:t>
      </w:r>
    </w:p>
    <w:p>
      <w:pPr>
        <w:spacing w:line="560" w:lineRule="exact"/>
        <w:ind w:firstLine="632" w:firstLineChars="200"/>
      </w:pPr>
      <w:r>
        <w:t>巩固</w:t>
      </w:r>
      <w:r>
        <w:rPr>
          <w:color w:val="000000"/>
        </w:rPr>
        <w:t>提</w:t>
      </w:r>
      <w:r>
        <w:rPr>
          <w:rFonts w:hint="eastAsia" w:ascii="方正仿宋_GBK"/>
          <w:color w:val="000000"/>
        </w:rPr>
        <w:t>升“山水林田湖草沙”生</w:t>
      </w:r>
      <w:r>
        <w:rPr>
          <w:rFonts w:hint="eastAsia" w:ascii="方正仿宋_GBK"/>
        </w:rPr>
        <w:t>态保护修复成果，推广山水林田湖草生态保护修复试点经验，探索构建“政府主导、政策扶持、社会参与、市场化运作”的生态修复模式。</w:t>
      </w:r>
      <w:r>
        <w:rPr>
          <w:rFonts w:hint="eastAsia" w:ascii="方正仿宋_GBK"/>
          <w:color w:val="000000"/>
        </w:rPr>
        <w:t>争取“山水林田湖草沙”生</w:t>
      </w:r>
      <w:r>
        <w:rPr>
          <w:color w:val="000000"/>
        </w:rPr>
        <w:t>态保护修复项目纳入重要生态系统保护和</w:t>
      </w:r>
      <w:r>
        <w:t>修复重大工程布局，加强生态保护，厚植生态优势。</w:t>
      </w:r>
    </w:p>
    <w:p>
      <w:pPr>
        <w:spacing w:line="560" w:lineRule="exact"/>
        <w:ind w:firstLine="632" w:firstLineChars="200"/>
      </w:pPr>
      <w:r>
        <w:rPr>
          <w:b/>
        </w:rPr>
        <w:t>加强森林生态系统恢复与保护</w:t>
      </w:r>
      <w:r>
        <w:rPr>
          <w:rFonts w:hint="eastAsia"/>
          <w:b/>
        </w:rPr>
        <w:t>。</w:t>
      </w:r>
      <w:r>
        <w:t>提升森林资源总量。继续实施天然林保护、退耕还林等重大生态工程，加强后备资源培育、林木良种基地和公益林建设。大力开展植树造林、中幼林抚育和低质低效林改造，加强退耕还林等工程建设，推进全民义务植树，扩大封山育林面积。精准提升森林质量和功能，加强森林保护。提升森林资源质量，建设森林抚育项目。优化林分结构，促进林木生长，提升森林资源整体质量，同时为国有林场职工和林农增加就业和经济收入，实现生态、经济、社会效益的有机统一。优化森林系统功能。加强生态安全屏障区域的天然林保护，推动生态资产保持率逐年递增。严格保护防风固沙林，加强管护和动态监测。加强速生丰产林工程建设，推动速生丰产林工程基地化建设，切实提高林地的利用率。加大无林地造林、小开荒治理及退化土地退耕还林力度，促进区域生态环境的改善。</w:t>
      </w:r>
    </w:p>
    <w:p>
      <w:pPr>
        <w:spacing w:line="560" w:lineRule="exact"/>
        <w:ind w:firstLine="632" w:firstLineChars="200"/>
      </w:pPr>
      <w:r>
        <w:rPr>
          <w:b/>
        </w:rPr>
        <w:t>加强湿地保护与恢复</w:t>
      </w:r>
      <w:r>
        <w:rPr>
          <w:rFonts w:hint="eastAsia"/>
          <w:b/>
        </w:rPr>
        <w:t>。</w:t>
      </w:r>
      <w:r>
        <w:t>强化湿地保护区建设。建设以湿地自然保护区、湿地公园、重要湿地建设为基本格局的湿地保护体系。重点推进吉林长白间山峰湿地公园</w:t>
      </w:r>
      <w:r>
        <w:rPr>
          <w:color w:val="000000"/>
        </w:rPr>
        <w:t>、吉林长白泥粒河国家级湿地公园、吉林长白鸭绿江源湿地自然保护区内湿地</w:t>
      </w:r>
      <w:r>
        <w:t>的严格保护。强化湿地资源保护。采取严格的保护措施，确保湿地保护红线区面积不减少、性质不改变、功能不退化；积极恢复扩大湿地面积，大力实施湿地生态修复工程，加强污染控制和生物多样性保护工作，恢复湿地的自然特性和生态特征，增强湿地生态系统整体功能；大力推进湿地公园建设，加强重点湿地的保护管理。提升湿地保护管理水平。巩固湿地保卫战实施成果，健全湿地保护制度。开展</w:t>
      </w:r>
      <w:r>
        <w:rPr>
          <w:rFonts w:hint="eastAsia" w:ascii="方正仿宋_GBK"/>
        </w:rPr>
        <w:t>“世界湿地日”宣传活动。积极开展湿地重建、湿地环境整治。保护滩涂湿地，实施湿地恢复工程，恢复湿地植被，建设生态型湿地。打击擅自征收、占用和破坏湿地行为。严格湿地用途监管。推进湿地分级管理、严守湿地保护率，对湿地资源实行全面保护和总量管控，实行湿地分类管理。对重要湿地开展生态修复，实施生态补水、湿地动物栖息地恢复、湿地植被恢复、湿地景观恢复等工程，扩大湿地保护面积</w:t>
      </w:r>
      <w:r>
        <w:t>，提高湿地保护率，恢复和提升湿地生态系统的整体功能。</w:t>
      </w:r>
    </w:p>
    <w:p>
      <w:pPr>
        <w:spacing w:line="560" w:lineRule="exact"/>
        <w:ind w:firstLine="632" w:firstLineChars="200"/>
      </w:pPr>
      <w:r>
        <w:rPr>
          <w:b/>
        </w:rPr>
        <w:t>开展矿区生态保护恢复</w:t>
      </w:r>
      <w:r>
        <w:rPr>
          <w:rFonts w:hint="eastAsia"/>
          <w:b/>
        </w:rPr>
        <w:t>。</w:t>
      </w:r>
      <w:r>
        <w:t>严格整治矿产资源开发。严控矿山开发，对不符合国家和地方</w:t>
      </w:r>
      <w:r>
        <w:rPr>
          <w:rFonts w:hint="eastAsia"/>
        </w:rPr>
        <w:t>相关</w:t>
      </w:r>
      <w:r>
        <w:t>标准的有证矿山实施停产整治、整改，对于严重危害区域生态环境的矿山企业关停，对无证和持超期证开采的矿山依法</w:t>
      </w:r>
      <w:r>
        <w:rPr>
          <w:rFonts w:hint="eastAsia"/>
          <w:color w:val="000000"/>
        </w:rPr>
        <w:t>予</w:t>
      </w:r>
      <w:r>
        <w:rPr>
          <w:color w:val="000000"/>
        </w:rPr>
        <w:t>以取缔</w:t>
      </w:r>
      <w:r>
        <w:t>关闭。引导矿山企业绿色转型。推进矿产资源开发利用与矿山地质环境保护协调发展，积极引导绿色转型。按照有关政策，对申请转型发展的退出矿企，</w:t>
      </w:r>
      <w:r>
        <w:rPr>
          <w:rFonts w:hint="eastAsia"/>
        </w:rPr>
        <w:t>给予</w:t>
      </w:r>
      <w:r>
        <w:t>帮扶和支持。积极发展矿业旅游。执行绿色矿山标准，促进节能减排。推进矿山环境治理恢复。统筹推进历史遗留矿山和生产矿山生态保护修复，实施废弃矿山修复生态保护修复等工程。不断提升全域生态建设水平，重塑生态景观，为人民群众创造良好的生产生活环境。</w:t>
      </w:r>
    </w:p>
    <w:p>
      <w:pPr>
        <w:spacing w:line="560" w:lineRule="exact"/>
        <w:ind w:firstLine="632" w:firstLineChars="200"/>
      </w:pPr>
      <w:r>
        <w:rPr>
          <w:b/>
        </w:rPr>
        <w:t>加强生物多样性保护</w:t>
      </w:r>
      <w:r>
        <w:rPr>
          <w:rFonts w:hint="eastAsia"/>
          <w:b/>
        </w:rPr>
        <w:t>。</w:t>
      </w:r>
      <w:r>
        <w:t>加强野生动植物保护。推进野生动植物及其栖息地状况调查、监测和评估工作，建立健全野生动植物及其栖息地档案。完善保护措施，妥善处理保护与利用的关系，加强执法，坚决查处各种野生动植物乱捕、乱猎行为，维护野生动植物的自然生态系统稳定。古树名木保护</w:t>
      </w:r>
      <w:r>
        <w:rPr>
          <w:rFonts w:hint="eastAsia"/>
        </w:rPr>
        <w:t>，</w:t>
      </w:r>
      <w:r>
        <w:t>按照国家、省的要求，加强古树名木管理，实施古树名木</w:t>
      </w:r>
      <w:r>
        <w:rPr>
          <w:rFonts w:hint="eastAsia"/>
        </w:rPr>
        <w:t>保护的</w:t>
      </w:r>
      <w:r>
        <w:t>多重措施，完善古树群</w:t>
      </w:r>
      <w:r>
        <w:rPr>
          <w:rFonts w:hint="eastAsia"/>
        </w:rPr>
        <w:t>（</w:t>
      </w:r>
      <w:r>
        <w:t>点）保护基础设施；完善古树名木管理信息系统，实现古树名木规范化、动态化管理等。强化生物多样性风险防范</w:t>
      </w:r>
      <w:r>
        <w:rPr>
          <w:rFonts w:hint="eastAsia"/>
        </w:rPr>
        <w:t>，</w:t>
      </w:r>
      <w:r>
        <w:t>开展生物多样性调查评估与成效考核，完善生物多样性监测、预警体系。加强生物多样性监管。加强外来有害入侵物种、转基因生物和病原微生物的生物安全管理。继续实施生物多样性保护重大工程。</w:t>
      </w:r>
    </w:p>
    <w:p>
      <w:pPr>
        <w:spacing w:line="560" w:lineRule="exact"/>
        <w:ind w:firstLine="632" w:firstLineChars="200"/>
        <w:rPr>
          <w:rFonts w:hint="eastAsia"/>
        </w:rPr>
      </w:pPr>
      <w:bookmarkStart w:id="111" w:name="_Toc16650"/>
      <w:r>
        <w:rPr>
          <w:rFonts w:hint="eastAsia"/>
        </w:rPr>
        <w:t>7﹒生态环境风险防范</w:t>
      </w:r>
      <w:bookmarkEnd w:id="111"/>
      <w:r>
        <w:rPr>
          <w:rFonts w:hint="eastAsia"/>
        </w:rPr>
        <w:t>。</w:t>
      </w:r>
    </w:p>
    <w:p>
      <w:pPr>
        <w:spacing w:line="560" w:lineRule="exact"/>
        <w:ind w:firstLine="632" w:firstLineChars="200"/>
      </w:pPr>
      <w:bookmarkStart w:id="112" w:name="_Toc22181"/>
      <w:bookmarkStart w:id="113" w:name="_Toc27845"/>
      <w:r>
        <w:t>牢固树立环境风险防控底线思维，加强对生态环境领域安全工作的统筹协调，构建全过程、多层级环境风险防控和应急体系，严格化学品、辐射等重点领域环境管理，有效控制环境风险，切实保证环境安全。</w:t>
      </w:r>
    </w:p>
    <w:p>
      <w:pPr>
        <w:spacing w:line="560" w:lineRule="exact"/>
        <w:ind w:firstLine="632" w:firstLineChars="200"/>
      </w:pPr>
      <w:r>
        <w:rPr>
          <w:b/>
        </w:rPr>
        <w:t>强化辐射和重金属风险防控</w:t>
      </w:r>
      <w:r>
        <w:rPr>
          <w:rFonts w:hint="eastAsia"/>
          <w:b/>
        </w:rPr>
        <w:t>。</w:t>
      </w:r>
      <w:r>
        <w:t>加强辐射环境安全监管</w:t>
      </w:r>
      <w:r>
        <w:rPr>
          <w:rFonts w:hint="eastAsia"/>
        </w:rPr>
        <w:t>，</w:t>
      </w:r>
      <w:r>
        <w:t>加强核技术利用单位辐射安全管理标准化建设，定期组织开展辐射安全专项检查，推进废旧放射源送贮工作，确保每年产生废旧放射源送贮率达到100%。健全核与辐射应急响应体系</w:t>
      </w:r>
      <w:r>
        <w:rPr>
          <w:rFonts w:hint="eastAsia"/>
        </w:rPr>
        <w:t>，</w:t>
      </w:r>
      <w:r>
        <w:t>落实边境环境安全风险防范工作部署，修订核与辐射事故应急预案和配套执行程序，完善应急装备配备及保障机制。定期开展应急演练，提升核与辐射应急响应能力。推进重金属污染风险防治</w:t>
      </w:r>
      <w:r>
        <w:rPr>
          <w:rFonts w:hint="eastAsia"/>
        </w:rPr>
        <w:t>，</w:t>
      </w:r>
      <w:r>
        <w:t>建立和完善涉重行业企业清单，</w:t>
      </w:r>
      <w:r>
        <w:rPr>
          <w:color w:val="000000"/>
        </w:rPr>
        <w:t>加强跨县</w:t>
      </w:r>
      <w:r>
        <w:rPr>
          <w:rFonts w:hint="eastAsia"/>
          <w:color w:val="000000"/>
        </w:rPr>
        <w:t>（</w:t>
      </w:r>
      <w:r>
        <w:rPr>
          <w:color w:val="000000"/>
        </w:rPr>
        <w:t>区）行政区域和涉及铅、镉、汞、铬、砷等重金属排放的重点行业建设项目环评审批，</w:t>
      </w:r>
      <w:r>
        <w:t>加强废铅蓄电池环境监督管理。加强企业生产全过程污染管控，开展涉重历史遗留问题环境风险隐患排查。</w:t>
      </w:r>
    </w:p>
    <w:p>
      <w:pPr>
        <w:spacing w:line="560" w:lineRule="exact"/>
        <w:ind w:firstLine="632" w:firstLineChars="200"/>
        <w:rPr>
          <w:rFonts w:hint="eastAsia" w:ascii="方正仿宋_GBK"/>
        </w:rPr>
      </w:pPr>
      <w:r>
        <w:rPr>
          <w:b/>
        </w:rPr>
        <w:t>提升危险废物防控水平</w:t>
      </w:r>
      <w:r>
        <w:rPr>
          <w:rFonts w:hint="eastAsia"/>
          <w:b/>
        </w:rPr>
        <w:t>。</w:t>
      </w:r>
      <w:r>
        <w:t>建立危险废物全过程监管体系。探索建立危险废物规范化环境管理体系和排污许可与危险废物许可两证联动机制，加强事前审批和事中事后监管，加大危险废物全过程监管力度。实行危险废物清单式管理，实现信息化追溯，提高危险废物信息化、智能化监管水平。健全危险废物行政执法部门与刑事司法联动机制。完善危险废物风险防控。严格按照法律法规管理危险废物，督促危险废物产生单位执行危险废物</w:t>
      </w:r>
      <w:r>
        <w:rPr>
          <w:rFonts w:hint="eastAsia"/>
        </w:rPr>
        <w:t>各项</w:t>
      </w:r>
      <w:r>
        <w:t>管理制度。全面排查历史</w:t>
      </w:r>
      <w:r>
        <w:rPr>
          <w:rFonts w:hint="eastAsia" w:ascii="方正仿宋_GBK"/>
        </w:rPr>
        <w:t>遗留危险废物情况，开展贮存方式、周边环境影响、环境风险等评估。重点关注“一废一库一品”（危险废物、尾矿库、危险化学品），强化污水处理厂污泥处理处置。</w:t>
      </w:r>
    </w:p>
    <w:p>
      <w:pPr>
        <w:spacing w:line="560" w:lineRule="exact"/>
        <w:ind w:firstLine="632" w:firstLineChars="200"/>
      </w:pPr>
      <w:r>
        <w:rPr>
          <w:b/>
        </w:rPr>
        <w:t>提高环境风险防范能力</w:t>
      </w:r>
      <w:r>
        <w:rPr>
          <w:rFonts w:hint="eastAsia"/>
          <w:b/>
        </w:rPr>
        <w:t>。</w:t>
      </w:r>
      <w:r>
        <w:t>完善环境风险预警和应急措施。完善突发环境事件应急管理预案体系，健全生态环境风险动态评价和管理机制。强化企事业单位环境风险防范主体责任，落实风险防范措施，不断提高风险防控水平。定期对县级政府突发环境事件应急预案进行修编，督促相关企业定期开展应急演练以及应急预案修订。提升环境风险预警、排查、应对水平。完善环境风险应急管理体系。加强基础能力建设，强化重污染天气、饮用水水源地、有毒有害气体等关系公众健康的重点领域风险预警。完善预案备案管理制度。切实加强企业环境风险管理</w:t>
      </w:r>
      <w:r>
        <w:rPr>
          <w:rFonts w:hint="eastAsia"/>
        </w:rPr>
        <w:t>，</w:t>
      </w:r>
      <w:r>
        <w:t>完善企事业单位环境风险排查、评估、预警、应急及责任追究。</w:t>
      </w:r>
    </w:p>
    <w:p>
      <w:pPr>
        <w:spacing w:line="560" w:lineRule="exact"/>
        <w:ind w:firstLine="632" w:firstLineChars="200"/>
        <w:rPr>
          <w:rFonts w:hint="eastAsia" w:ascii="方正楷体_GBK" w:eastAsia="方正楷体_GBK"/>
        </w:rPr>
      </w:pPr>
      <w:bookmarkStart w:id="114" w:name="_Toc459"/>
      <w:bookmarkStart w:id="115" w:name="_Toc9548"/>
      <w:r>
        <w:rPr>
          <w:rFonts w:hint="eastAsia" w:ascii="方正楷体_GBK" w:eastAsia="方正楷体_GBK"/>
        </w:rPr>
        <w:t>（三）生态空间体系建设</w:t>
      </w:r>
      <w:bookmarkEnd w:id="112"/>
      <w:bookmarkEnd w:id="113"/>
      <w:bookmarkEnd w:id="114"/>
      <w:bookmarkEnd w:id="115"/>
      <w:r>
        <w:rPr>
          <w:rFonts w:hint="eastAsia" w:ascii="方正楷体_GBK" w:eastAsia="方正楷体_GBK"/>
        </w:rPr>
        <w:t>。</w:t>
      </w:r>
    </w:p>
    <w:p>
      <w:pPr>
        <w:spacing w:line="560" w:lineRule="exact"/>
        <w:ind w:firstLine="632" w:firstLineChars="200"/>
      </w:pPr>
      <w:bookmarkStart w:id="116" w:name="_Toc3252"/>
      <w:r>
        <w:t>1</w:t>
      </w:r>
      <w:r>
        <w:rPr>
          <w:rFonts w:hint="eastAsia" w:ascii="方正仿宋_GBK"/>
        </w:rPr>
        <w:t>﹒</w:t>
      </w:r>
      <w:r>
        <w:rPr>
          <w:rFonts w:hint="eastAsia"/>
        </w:rPr>
        <w:t>生态空间用途管制</w:t>
      </w:r>
      <w:bookmarkEnd w:id="116"/>
      <w:r>
        <w:rPr>
          <w:rFonts w:hint="eastAsia"/>
        </w:rPr>
        <w:t>。</w:t>
      </w:r>
    </w:p>
    <w:p>
      <w:pPr>
        <w:spacing w:line="560" w:lineRule="exact"/>
        <w:ind w:firstLine="632" w:firstLineChars="200"/>
        <w:rPr>
          <w:rFonts w:hint="eastAsia" w:ascii="方正仿宋_GBK"/>
        </w:rPr>
      </w:pPr>
      <w:r>
        <w:t>统筹划定并落实永久基本农田、</w:t>
      </w:r>
      <w:r>
        <w:rPr>
          <w:rFonts w:hint="eastAsia" w:ascii="方正仿宋_GBK"/>
        </w:rPr>
        <w:t>生态保护红线、城镇开发边界等空间管控边界。实施“三线一单”生态环境分区管控，严格环境准入，推进生态环境保护精细化管理。</w:t>
      </w:r>
    </w:p>
    <w:p>
      <w:pPr>
        <w:spacing w:line="560" w:lineRule="exact"/>
        <w:ind w:firstLine="632" w:firstLineChars="200"/>
      </w:pPr>
      <w:r>
        <w:rPr>
          <w:b/>
        </w:rPr>
        <w:t>落实三条控制线管制</w:t>
      </w:r>
      <w:r>
        <w:rPr>
          <w:rFonts w:hint="eastAsia"/>
          <w:b/>
        </w:rPr>
        <w:t>。</w:t>
      </w:r>
      <w:r>
        <w:t>严守生态保护红线。将生态保护红线作为生态文明建设的基础性制度。</w:t>
      </w:r>
      <w:r>
        <w:rPr>
          <w:rFonts w:hint="eastAsia"/>
        </w:rPr>
        <w:t>严控</w:t>
      </w:r>
      <w:r>
        <w:t>生态保护红线内</w:t>
      </w:r>
      <w:r>
        <w:rPr>
          <w:rFonts w:hint="eastAsia"/>
        </w:rPr>
        <w:t>建设活动</w:t>
      </w:r>
      <w:r>
        <w:rPr>
          <w:color w:val="000000"/>
        </w:rPr>
        <w:t>，严禁违反生态保护红线的空间管控要求。</w:t>
      </w:r>
      <w:r>
        <w:rPr>
          <w:rFonts w:hint="eastAsia"/>
        </w:rPr>
        <w:t>严控</w:t>
      </w:r>
      <w:r>
        <w:t>农田保护区。农田保护区内，严禁发展林果业、挖土养鱼、挖湖造景、建设绿化带、种植苗木、草皮等用于绿化装饰以及其他破坏耕作层的植物、建设畜禽养殖设施、水产养殖设施和破坏耕作层的种植业设施。为实施国家重大交通、能源、水利及军事用地，经批准占用农田保护区的，原则上分区不作调整。规范城镇开发边界</w:t>
      </w:r>
      <w:r>
        <w:rPr>
          <w:rFonts w:hint="eastAsia"/>
        </w:rPr>
        <w:t>，</w:t>
      </w:r>
      <w:r>
        <w:t>在城镇开发边界内，科学预留一定比例的留白区，为未来发展留有开发空间。在城镇开发边界外，制定分区准入正负面清单，不得进行城镇集中建设</w:t>
      </w:r>
      <w:r>
        <w:rPr>
          <w:color w:val="000000"/>
        </w:rPr>
        <w:t>，不得设</w:t>
      </w:r>
      <w:r>
        <w:t>立各类开</w:t>
      </w:r>
      <w:r>
        <w:rPr>
          <w:color w:val="000000"/>
        </w:rPr>
        <w:t>发区或者进行扩区调区。规划期内，在不突破</w:t>
      </w:r>
      <w:r>
        <w:rPr>
          <w:rFonts w:hint="eastAsia"/>
          <w:color w:val="000000"/>
        </w:rPr>
        <w:t>国土空间</w:t>
      </w:r>
      <w:r>
        <w:rPr>
          <w:color w:val="000000"/>
        </w:rPr>
        <w:t>总体规划建设用地规模和强制性内容的前提下，可根据经济社会发展需要，对城镇开发边界范围内的规划建设用地布局进行调整</w:t>
      </w:r>
      <w:r>
        <w:rPr>
          <w:rFonts w:hint="eastAsia"/>
          <w:color w:val="000000"/>
        </w:rPr>
        <w:t>；</w:t>
      </w:r>
      <w:r>
        <w:rPr>
          <w:color w:val="000000"/>
        </w:rPr>
        <w:t>规划建设用地布局调整，严格按照</w:t>
      </w:r>
      <w:r>
        <w:rPr>
          <w:rFonts w:hint="eastAsia"/>
          <w:color w:val="000000"/>
        </w:rPr>
        <w:t>国土空间</w:t>
      </w:r>
      <w:r>
        <w:rPr>
          <w:color w:val="000000"/>
        </w:rPr>
        <w:t>总体规划有关规定以及吉林省有关城市总体规划编制审批要求执行。</w:t>
      </w:r>
    </w:p>
    <w:p>
      <w:pPr>
        <w:spacing w:line="560" w:lineRule="exact"/>
        <w:ind w:firstLine="632" w:firstLineChars="200"/>
        <w:rPr>
          <w:color w:val="000000"/>
        </w:rPr>
      </w:pPr>
      <w:r>
        <w:rPr>
          <w:rFonts w:hint="eastAsia" w:ascii="方正仿宋_GBK"/>
          <w:b/>
        </w:rPr>
        <w:t>实施“三线一单”生态环境分区管控。</w:t>
      </w:r>
      <w:r>
        <w:rPr>
          <w:rFonts w:hint="eastAsia" w:ascii="方正仿宋_GBK"/>
        </w:rPr>
        <w:t>严格落实优先保护单元、重点管控单元、一般管控单元生态环境分区管控要求，支撑生态环境高水平保护。建立动态更新和调整机制，推进“三线一单”与排污许可、环评审批、环境监测、环境执法等数据共享，形成</w:t>
      </w:r>
      <w:r>
        <w:t>以规划环评和项目环评为环境准入关口，以排污许可为企业守法依据，</w:t>
      </w:r>
      <w:r>
        <w:rPr>
          <w:color w:val="000000"/>
        </w:rPr>
        <w:t>以执法督</w:t>
      </w:r>
      <w:r>
        <w:rPr>
          <w:rFonts w:hint="eastAsia"/>
          <w:color w:val="000000"/>
        </w:rPr>
        <w:t>察</w:t>
      </w:r>
      <w:r>
        <w:rPr>
          <w:color w:val="000000"/>
        </w:rPr>
        <w:t>为环境监管兜底的全过程环境管理框架。</w:t>
      </w:r>
    </w:p>
    <w:p>
      <w:pPr>
        <w:spacing w:line="560" w:lineRule="exact"/>
        <w:ind w:firstLine="632" w:firstLineChars="200"/>
        <w:rPr>
          <w:rFonts w:hint="eastAsia"/>
        </w:rPr>
      </w:pPr>
      <w:bookmarkStart w:id="117" w:name="_Toc10086"/>
      <w:bookmarkStart w:id="118" w:name="_Toc26088"/>
      <w:bookmarkStart w:id="119" w:name="_Toc16194"/>
      <w:r>
        <w:t>2</w:t>
      </w:r>
      <w:r>
        <w:rPr>
          <w:rFonts w:hint="eastAsia" w:ascii="方正仿宋_GBK"/>
        </w:rPr>
        <w:t>﹒</w:t>
      </w:r>
      <w:r>
        <w:t>自然保护地体系</w:t>
      </w:r>
      <w:bookmarkEnd w:id="117"/>
      <w:bookmarkEnd w:id="118"/>
      <w:bookmarkEnd w:id="119"/>
      <w:r>
        <w:rPr>
          <w:rFonts w:hint="eastAsia"/>
        </w:rPr>
        <w:t>。</w:t>
      </w:r>
    </w:p>
    <w:p>
      <w:pPr>
        <w:spacing w:line="560" w:lineRule="exact"/>
        <w:ind w:firstLine="632" w:firstLineChars="200"/>
      </w:pPr>
      <w:r>
        <w:rPr>
          <w:b/>
        </w:rPr>
        <w:t>构建科学合理的自然保护地体系</w:t>
      </w:r>
      <w:r>
        <w:rPr>
          <w:rFonts w:hint="eastAsia"/>
          <w:b/>
        </w:rPr>
        <w:t>。</w:t>
      </w:r>
      <w:r>
        <w:t>优化自然保护地，按照划定的自然保护地类型，以</w:t>
      </w:r>
      <w:r>
        <w:rPr>
          <w:rFonts w:hint="eastAsia"/>
        </w:rPr>
        <w:t>鸭绿江上游国家级自然保护区</w:t>
      </w:r>
      <w:r>
        <w:t>、</w:t>
      </w:r>
      <w:r>
        <w:rPr>
          <w:rFonts w:hint="eastAsia"/>
          <w:color w:val="000000"/>
        </w:rPr>
        <w:t>吉林</w:t>
      </w:r>
      <w:r>
        <w:rPr>
          <w:color w:val="000000"/>
        </w:rPr>
        <w:t>长白泥粒河国家级湿地公园等为依托，提出</w:t>
      </w:r>
      <w:r>
        <w:t>各类自然保护地总体布局和发展规划，明确自然保护地的发展目标，规模和区域，形成具有长白特色的自然保护地体系。</w:t>
      </w:r>
    </w:p>
    <w:p>
      <w:pPr>
        <w:spacing w:line="560" w:lineRule="exact"/>
        <w:ind w:firstLine="632" w:firstLineChars="200"/>
      </w:pPr>
      <w:r>
        <w:rPr>
          <w:b/>
        </w:rPr>
        <w:t>建立规范的自然保护地管理体制</w:t>
      </w:r>
      <w:r>
        <w:rPr>
          <w:rFonts w:hint="eastAsia"/>
          <w:b/>
        </w:rPr>
        <w:t>。</w:t>
      </w:r>
      <w:r>
        <w:t>强化自然保护地规范化建设，分区分类开展受损自然生态系统修复、生物多样性保护工程，改善野生动植物栖息地和分布地生境，打通野生动物生存和扩散廊道。加强保护管理设施建设；强化科研、宣传教育、体验游憩等公共服务设施建设；配置管理管护设施装备，逐步实现规范化、标准化和现代化，提升自然保护地管理能力和水平。加强自然保护地监督管理。做好自然保护地人类活动情况监测，确保自然保护地平稳有序健康发展。实行自然保护地差别化管控。自然保护区按照核心保护区和一般控制区进行分区管控，自然公园原则上按一般控制区管理。原则上，核心保护区内禁止人类活动，一般控制区内允许符合国家相关政策且对生态功能不造成破坏的有限人为活动，允许适度发展林下经济等生态产业。建立和实行自然保护地内建设项目负面清单管理制度。</w:t>
      </w:r>
    </w:p>
    <w:p>
      <w:pPr>
        <w:spacing w:line="560" w:lineRule="exact"/>
        <w:ind w:firstLine="632" w:firstLineChars="200"/>
      </w:pPr>
      <w:bookmarkStart w:id="120" w:name="_Toc31806"/>
      <w:r>
        <w:t>3﹒国土空间</w:t>
      </w:r>
      <w:r>
        <w:rPr>
          <w:rFonts w:hint="eastAsia"/>
        </w:rPr>
        <w:t>布局优化</w:t>
      </w:r>
      <w:bookmarkEnd w:id="120"/>
      <w:r>
        <w:rPr>
          <w:rFonts w:hint="eastAsia"/>
        </w:rPr>
        <w:t>。</w:t>
      </w:r>
    </w:p>
    <w:p>
      <w:pPr>
        <w:spacing w:line="560" w:lineRule="exact"/>
        <w:ind w:firstLine="632" w:firstLineChars="200"/>
        <w:rPr>
          <w:rFonts w:hint="eastAsia" w:ascii="方正仿宋_GBK"/>
        </w:rPr>
      </w:pPr>
      <w:r>
        <w:rPr>
          <w:b/>
        </w:rPr>
        <w:t>构建绿色发展格局</w:t>
      </w:r>
      <w:r>
        <w:rPr>
          <w:rFonts w:hint="eastAsia"/>
          <w:b/>
        </w:rPr>
        <w:t>。</w:t>
      </w:r>
      <w:r>
        <w:rPr>
          <w:rFonts w:hint="eastAsia" w:ascii="方正仿宋_GBK"/>
        </w:rPr>
        <w:t>推进城镇化布局，长白朝鲜族自治县全域构建“一主一副，特色引领，六区协同”的城镇空间格局。规划建立“中心城</w:t>
      </w:r>
      <w:r>
        <w:t>区</w:t>
      </w:r>
      <w:r>
        <w:rPr>
          <w:rFonts w:hint="eastAsia"/>
        </w:rPr>
        <w:t>（</w:t>
      </w:r>
      <w:r>
        <w:t>县城）</w:t>
      </w:r>
      <w:r>
        <w:rPr>
          <w:rFonts w:hint="eastAsia"/>
        </w:rPr>
        <w:t>—</w:t>
      </w:r>
      <w:r>
        <w:t>重点镇</w:t>
      </w:r>
      <w:r>
        <w:rPr>
          <w:rFonts w:hint="eastAsia"/>
        </w:rPr>
        <w:t>—</w:t>
      </w:r>
      <w:r>
        <w:t>一般镇</w:t>
      </w:r>
      <w:r>
        <w:rPr>
          <w:rFonts w:hint="eastAsia" w:ascii="方正仿宋_GBK"/>
        </w:rPr>
        <w:t>”三级城镇等级结构体系。优化农业生产空间，支撑全县农业产业布局，保障优质粮食产量，林下经济产量和畜牧养殖发展水平，构筑“一带两区多点”的农业空间格局。构建以绿色农副产品生产加工为基础，以生态文化旅游、对外贸易物流、特色资源加工为特色，以健康产业和现代物流、清洁能源为新兴产业的“</w:t>
      </w:r>
      <w:r>
        <w:t>1+3+3</w:t>
      </w:r>
      <w:r>
        <w:rPr>
          <w:rFonts w:hint="eastAsia" w:ascii="方正仿宋_GBK"/>
        </w:rPr>
        <w:t>”的现代化产业发展体系。尊重自然地理格局。充分发挥现有生态优势</w:t>
      </w:r>
      <w:r>
        <w:rPr>
          <w:rFonts w:hint="eastAsia" w:ascii="方正仿宋_GBK"/>
          <w:color w:val="000000"/>
        </w:rPr>
        <w:t>，以“山水林田湖草沙”整体保护理念，重点提升森林屏障生态水平</w:t>
      </w:r>
      <w:r>
        <w:rPr>
          <w:rFonts w:hint="eastAsia" w:ascii="方正仿宋_GBK"/>
        </w:rPr>
        <w:t>为重要生态职责，依托鸭绿江及域内多条沟河，极挖掘地方生态资产，推动生态空间特色发展。</w:t>
      </w:r>
    </w:p>
    <w:p>
      <w:pPr>
        <w:spacing w:line="560" w:lineRule="exact"/>
        <w:ind w:firstLine="632" w:firstLineChars="200"/>
      </w:pPr>
      <w:r>
        <w:rPr>
          <w:b/>
        </w:rPr>
        <w:t>筑牢生态安全格局</w:t>
      </w:r>
      <w:r>
        <w:rPr>
          <w:rFonts w:hint="eastAsia"/>
          <w:b/>
        </w:rPr>
        <w:t>。</w:t>
      </w:r>
      <w:r>
        <w:t>优化城市空间格局</w:t>
      </w:r>
      <w:r>
        <w:rPr>
          <w:rFonts w:hint="eastAsia" w:ascii="方正仿宋_GBK"/>
        </w:rPr>
        <w:t>，实施“东联西扩、北进南通”中心城区空间发展战略，扩大城区</w:t>
      </w:r>
      <w:r>
        <w:t>面积，为未来城市发展留足空间。做大做强中心城区，增强人口吸附能力、产业集聚能力、综合承载能力、辐射带动能力，把中心城区打造成带动全县经济社会发展的强大引擎，建设成吉林省东部沿边地区一座新兴的中心城市。向东</w:t>
      </w:r>
      <w:r>
        <w:rPr>
          <w:rFonts w:hint="eastAsia"/>
        </w:rPr>
        <w:t>连接</w:t>
      </w:r>
      <w:r>
        <w:t>马鹿沟镇，打造中心城区的拓展区；向西拓展到</w:t>
      </w:r>
      <w:r>
        <w:rPr>
          <w:rFonts w:hint="eastAsia"/>
        </w:rPr>
        <w:t>吉林长白边境经济合作区</w:t>
      </w:r>
      <w:r>
        <w:t>，拓宽城市经济发展空间；向北进深到十八道沟方向，开辟经济社会发展第二主战场；向南与境外实现互联互通，打造中外经济合作示范区。推动行政区划调整，整合要素资源，优化县域空间布局，实现生产要素优化配置和空间资源的优化重组。加大乡镇驻地建设力度，合理规划建设中心城镇。坚持生态优先、绿色发展。遵循</w:t>
      </w:r>
      <w:r>
        <w:rPr>
          <w:rFonts w:hint="eastAsia"/>
        </w:rPr>
        <w:t>长白朝鲜族自治县</w:t>
      </w:r>
      <w:r>
        <w:t>国土空间基底和发展规律，统筹生产、生活、生态空间，构</w:t>
      </w:r>
      <w:r>
        <w:rPr>
          <w:rFonts w:hint="eastAsia" w:ascii="方正仿宋_GBK"/>
        </w:rPr>
        <w:t>建“一带、双核、一屏、双区、多点”的国土空间开发保护总体格局。</w:t>
      </w:r>
    </w:p>
    <w:p>
      <w:pPr>
        <w:spacing w:line="560" w:lineRule="exact"/>
        <w:ind w:firstLine="632" w:firstLineChars="200"/>
      </w:pPr>
      <w:r>
        <w:rPr>
          <w:b/>
        </w:rPr>
        <w:t>推进多规合一</w:t>
      </w:r>
      <w:r>
        <w:rPr>
          <w:rFonts w:hint="eastAsia" w:ascii="方正仿宋_GBK"/>
          <w:b/>
        </w:rPr>
        <w:t>。</w:t>
      </w:r>
      <w:r>
        <w:rPr>
          <w:rFonts w:hint="eastAsia" w:ascii="方正仿宋_GBK"/>
        </w:rPr>
        <w:t>加强规划衔接统一，积极开展“多规合一”，推进规划纲要和国土空间规划、产业规划、社会事业规划、生态环境保护规划等统一布局、相互衔接、相互协调、配套实施。各</w:t>
      </w:r>
      <w:r>
        <w:t>职能部门要依据规划纲要组织编制本行业的专项规划，专项规划要切实贯彻规划纲要的战略意图和主要任务，明确衔接程序，加强与规划纲要各项指标的衔</w:t>
      </w:r>
      <w:r>
        <w:rPr>
          <w:color w:val="000000"/>
        </w:rPr>
        <w:t>接，确保各级各类规划在总</w:t>
      </w:r>
      <w:r>
        <w:t>体要求上方向一致、空间布局上相互协调、时序安排上科学有序。</w:t>
      </w:r>
    </w:p>
    <w:p>
      <w:pPr>
        <w:spacing w:line="560" w:lineRule="exact"/>
        <w:ind w:firstLine="632" w:firstLineChars="200"/>
        <w:rPr>
          <w:rFonts w:hint="eastAsia" w:ascii="方正楷体_GBK" w:eastAsia="方正楷体_GBK"/>
        </w:rPr>
      </w:pPr>
      <w:bookmarkStart w:id="121" w:name="_Toc18785"/>
      <w:bookmarkStart w:id="122" w:name="_Toc10396"/>
      <w:bookmarkStart w:id="123" w:name="_Toc908"/>
      <w:bookmarkStart w:id="124" w:name="_Toc22502"/>
      <w:r>
        <w:rPr>
          <w:rFonts w:hint="eastAsia" w:ascii="方正楷体_GBK" w:eastAsia="方正楷体_GBK"/>
        </w:rPr>
        <w:t>（四）生态经济体系建设</w:t>
      </w:r>
      <w:bookmarkEnd w:id="121"/>
      <w:bookmarkEnd w:id="122"/>
      <w:bookmarkEnd w:id="123"/>
      <w:bookmarkEnd w:id="124"/>
      <w:r>
        <w:rPr>
          <w:rFonts w:hint="eastAsia" w:ascii="方正楷体_GBK" w:eastAsia="方正楷体_GBK"/>
        </w:rPr>
        <w:t>。</w:t>
      </w:r>
    </w:p>
    <w:p>
      <w:pPr>
        <w:spacing w:line="560" w:lineRule="exact"/>
        <w:ind w:firstLine="632" w:firstLineChars="200"/>
        <w:rPr>
          <w:rFonts w:hint="eastAsia"/>
        </w:rPr>
      </w:pPr>
      <w:bookmarkStart w:id="125" w:name="_Toc4001"/>
      <w:r>
        <w:rPr>
          <w:rFonts w:hint="eastAsia"/>
        </w:rPr>
        <w:t>1</w:t>
      </w:r>
      <w:r>
        <w:t>﹒生态产业发展</w:t>
      </w:r>
      <w:bookmarkEnd w:id="125"/>
      <w:r>
        <w:rPr>
          <w:rFonts w:hint="eastAsia"/>
        </w:rPr>
        <w:t>。</w:t>
      </w:r>
    </w:p>
    <w:p>
      <w:pPr>
        <w:spacing w:line="560" w:lineRule="exact"/>
        <w:ind w:firstLine="632" w:firstLineChars="200"/>
        <w:rPr>
          <w:rFonts w:hint="eastAsia" w:ascii="方正仿宋_GBK"/>
        </w:rPr>
      </w:pPr>
      <w:r>
        <w:rPr>
          <w:b/>
        </w:rPr>
        <w:t>聚焦国内国际双循环，构筑沿边开放合作新高地</w:t>
      </w:r>
      <w:r>
        <w:rPr>
          <w:rFonts w:hint="eastAsia"/>
          <w:b/>
        </w:rPr>
        <w:t>。</w:t>
      </w:r>
      <w:r>
        <w:t>构建沿边开放新格局</w:t>
      </w:r>
      <w:r>
        <w:rPr>
          <w:rFonts w:hint="eastAsia"/>
        </w:rPr>
        <w:t>，</w:t>
      </w:r>
      <w:r>
        <w:t>充分发挥沿边区位优势，利用对外开放的良好基础与便利条件，对国土空间进行科学规划和布局，放大省级边境经济合作区、省级经济开发区和互市贸易区优势互补、政策集聚的叠加效应，进一步优化口岸和产业空间布局，加快沿岸资源和产业要素集聚。创新体制机制，围绕与周边国家地区实现人流、物流、资金流、信息流的自由流动进行全方面制度创新，推进人文交流互通、国防安全互信、贸易往来共赢，逐</w:t>
      </w:r>
      <w:r>
        <w:rPr>
          <w:rFonts w:hint="eastAsia" w:ascii="方正仿宋_GBK"/>
        </w:rPr>
        <w:t>步形成“沟通内外、辐射周边、连接腹地、通边达海”的沿边开放新格局。打造高质量发展先行区和示范区。坚持“绿水青山就是金山银山”的发展理念，打好绿色有机、资源加工、开发开放、全域旅游、营商环境、数字信息“六张牌</w:t>
      </w:r>
      <w:r>
        <w:rPr>
          <w:rFonts w:hint="eastAsia" w:ascii="方正仿宋_GBK"/>
          <w:color w:val="000000"/>
        </w:rPr>
        <w:t>”，发展“新旅游、新农业、新边贸、新材料”四大主导产业。激活发展</w:t>
      </w:r>
      <w:r>
        <w:rPr>
          <w:rFonts w:hint="eastAsia" w:ascii="方正仿宋_GBK"/>
        </w:rPr>
        <w:t>活力，通过改革和开放，加快推进人才、资金、</w:t>
      </w:r>
      <w:r>
        <w:t>土地、技术等要素集聚。补</w:t>
      </w:r>
      <w:r>
        <w:rPr>
          <w:rFonts w:hint="eastAsia" w:ascii="方正仿宋_GBK"/>
        </w:rPr>
        <w:t>齐设施短板，加强基础设施建设，积</w:t>
      </w:r>
      <w:r>
        <w:t>极推进5G</w:t>
      </w:r>
      <w:r>
        <w:rPr>
          <w:rFonts w:hint="eastAsia" w:ascii="方正仿宋_GBK"/>
        </w:rPr>
        <w:t>网络、新能源等新基建“</w:t>
      </w:r>
      <w:r>
        <w:t>761</w:t>
      </w:r>
      <w:r>
        <w:rPr>
          <w:rFonts w:hint="eastAsia" w:ascii="方正仿宋_GBK"/>
        </w:rPr>
        <w:t>”工程。提升产业园区配套设施水平，合理规划布局园区污水处理、垃圾中转等基本配套设施，满足产业发展和企业生产需求，提高产业集聚发展和持续发展能力，打造基础设施完备、配套功能齐全、产业布局合理、经济发展强劲的产业发展载体，进一步增强园区的承载能力。</w:t>
      </w:r>
    </w:p>
    <w:p>
      <w:pPr>
        <w:spacing w:line="560" w:lineRule="exact"/>
        <w:ind w:firstLine="632" w:firstLineChars="200"/>
      </w:pPr>
      <w:r>
        <w:rPr>
          <w:rFonts w:hint="eastAsia" w:ascii="方正仿宋_GBK"/>
          <w:b/>
        </w:rPr>
        <w:t>筑牢特色产业发展基础。</w:t>
      </w:r>
      <w:r>
        <w:rPr>
          <w:rFonts w:hint="eastAsia" w:ascii="方正仿宋_GBK"/>
        </w:rPr>
        <w:t>完善特色产业生产体系。进一步优化特色农业结构和生产方式，突出龙头企业的带动作用，实现农产品多层次、多环节转化增值，把特色产业、精深加工业打造成产业集群。加速发展“高产、优质、高效、生态、安全”种养业，因地制宜发展农村新产业、新业态，农村一、二、三产业深度融合发展格局初步形成，建立起以高科技为主导的现代农业发展模式，实现农业和农村发展由“资源依存型”向“科技支撑型”转变。加快特色产业科技创新。进一步加强人参栽培技术的研究工作，不断加大科研力度，同</w:t>
      </w:r>
      <w:r>
        <w:t>时与吉林大学、吉林农业大学、长春中医药大学、中国农科院吉林左家特产研究所等单位密切合作，为提高人参单产和内在品质奠定坚实的基础。培养一批本土的人参专家和人才。重点强化品种资源创新、产品质量技术创新、资源综合利用和绿色发展技术创新、农业新装备</w:t>
      </w:r>
      <w:r>
        <w:rPr>
          <w:rFonts w:hint="eastAsia"/>
        </w:rPr>
        <w:t>、</w:t>
      </w:r>
      <w:r>
        <w:t>新材料</w:t>
      </w:r>
      <w:r>
        <w:rPr>
          <w:rFonts w:hint="eastAsia"/>
        </w:rPr>
        <w:t>、</w:t>
      </w:r>
      <w:r>
        <w:t>新技术创新、农业信息化技术创新和特色优势农产品技术创新，以不断增强原始创新能力、集成创新能力、引进消化吸收再创新能力，努力实现重点领域关键技术的突破与跨领域技术集成，构建具有区域特色的产业基地。推进特色产业数字化建设。按照吉林省率先实现农业现代化的总体要求，大力推行农业标准化生产，促进农业集约化、规模化、标准化建设。发展智慧农业，搭建信息化农业网络服务平台。以长白镇为中心，建设现代化、标准化、信息化、国际化的人参</w:t>
      </w:r>
      <w:r>
        <w:rPr>
          <w:rFonts w:hint="eastAsia"/>
        </w:rPr>
        <w:t>（</w:t>
      </w:r>
      <w:r>
        <w:t>中药材）交易中心。建设具有信息交流、网上购物、仓储调节余缺、产品检测、现场交易等功能的销售网点，使人参产品流通信息网络化、人参产品质量安全检测检验规范化、储藏保鲜恒温控制自动化、市场监控电视化、市场管理现代化。完善农村电商生态系统，营造良好的电商发展环境。政府</w:t>
      </w:r>
      <w:r>
        <w:rPr>
          <w:rFonts w:hint="eastAsia"/>
        </w:rPr>
        <w:t>职能</w:t>
      </w:r>
      <w:r>
        <w:t>部门从政策层面积极探索高效的农村电商发展支持路径，不断提高农村公共服务水平，保持市场规范化发展。</w:t>
      </w:r>
    </w:p>
    <w:p>
      <w:pPr>
        <w:spacing w:line="560" w:lineRule="exact"/>
        <w:ind w:firstLine="632" w:firstLineChars="200"/>
      </w:pPr>
      <w:r>
        <w:rPr>
          <w:rFonts w:hint="eastAsia" w:ascii="方正仿宋_GBK"/>
          <w:b/>
        </w:rPr>
        <w:t>打造特色产业全链发展新体系。</w:t>
      </w:r>
      <w:r>
        <w:rPr>
          <w:rFonts w:hint="eastAsia" w:ascii="方正仿宋_GBK"/>
        </w:rPr>
        <w:t>健全林下中药材全产业链。加快绿色转型升级，构建“一林”新产业新体系，适度放宽林下经济开发限制，发展以参、蛙、果为重点的林下经济产业体系，全面推广发展林下中药材种植经济产业，着力打造“公司+基地+农户”的发展模式。合理使用</w:t>
      </w:r>
      <w:r>
        <w:t>次生林更</w:t>
      </w:r>
      <w:r>
        <w:rPr>
          <w:rFonts w:hint="eastAsia" w:ascii="方正仿宋_GBK"/>
        </w:rPr>
        <w:t>新用地，实行林参间作。打造朝鲜族民俗食品全产业链。坚持质量兴农、绿色兴农、品牌强农。打造优势民族特色食品，以“吉字号”公用背书品牌为引领，推进区域品牌创建与整合，依托农业种植基地，开发和新建</w:t>
      </w:r>
      <w:r>
        <w:t>农副产品深加工企业，提升农产品的精加工水平，提高农产品的附加值，形成可持续发展的产业链，逐步形成以工带农、以农促工、良性互动、结构合理、可持续发展的产业发展格局。培育特色产业集群。优化</w:t>
      </w:r>
      <w:r>
        <w:rPr>
          <w:rFonts w:hint="eastAsia"/>
        </w:rPr>
        <w:t>长白朝鲜族自治县</w:t>
      </w:r>
      <w:r>
        <w:t>产业体系，促进特色产业集群有序发展。加强产业结构调整，优化产业价值链，坚持错位发展、差异化发展，优化特色产业体系，以产业融合为突破口，积极发展精深加工，大力发展生产性服务业。加大研发投入，提升产业集群技术含量。在区域统筹方面，促进城乡多维深度融合，结合区位和特色优势，推进优势特色产区的多元化、分散化和网络化，构建乡村产业有基础、有梯次、有差异的发展格局，营造成线、成片、成群的发展态势。</w:t>
      </w:r>
    </w:p>
    <w:p>
      <w:pPr>
        <w:spacing w:line="560" w:lineRule="exact"/>
        <w:ind w:firstLine="632" w:firstLineChars="200"/>
      </w:pPr>
      <w:r>
        <w:rPr>
          <w:b/>
        </w:rPr>
        <w:t>大力发展生态循环农业</w:t>
      </w:r>
      <w:r>
        <w:rPr>
          <w:rFonts w:hint="eastAsia"/>
          <w:b/>
        </w:rPr>
        <w:t>。</w:t>
      </w:r>
      <w:r>
        <w:t>开展农业废弃物资源化利用。大力推广秸秆还田技术，全面禁止露天焚烧，加快建立以企业为龙头，农户参与，政府监管，市场化运作的秸秆收集和物流体系。探索农药包装废弃物、废旧农膜回收处理试点，推广农作物联合收获、粉碎、捡拾打捆、贮存运输全程机械化，建立和完善秸秆田间处理体系。实施废旧农膜回</w:t>
      </w:r>
      <w:r>
        <w:rPr>
          <w:rFonts w:hint="eastAsia"/>
        </w:rPr>
        <w:t>收</w:t>
      </w:r>
      <w:r>
        <w:t>利用，建立健全废弃农膜回收贮运和综合利用网络，制定废旧农膜回收实施方案。积极推进畜禽粪便资源化利用。针对畜禽粪污，鼓励果园采</w:t>
      </w:r>
      <w:r>
        <w:rPr>
          <w:rFonts w:hint="eastAsia" w:ascii="方正仿宋_GBK"/>
        </w:rPr>
        <w:t>用“猪—沼—果”立体</w:t>
      </w:r>
      <w:r>
        <w:t>种养模式，实现畜禽粪污的资源化利用。推动种养殖产业转型发展。加快林特产业发展。充分发挥丰富的林下资源优势，重点围绕人参、林蛙、坚果等，建设特色突出、效益显著的林下特色种养殖示范基地。加快推进宝泉山镇、新房子镇林蛙深加工基地、科研基地建设。以十四道沟镇、宝泉山镇、马鹿沟镇和新房子镇为核心，发展以大榛子、松</w:t>
      </w:r>
      <w:r>
        <w:rPr>
          <w:rFonts w:hint="eastAsia"/>
        </w:rPr>
        <w:t>子</w:t>
      </w:r>
      <w:r>
        <w:t>为核心的坚果种植业。实施优质山野菜商品化工程，建设长白山山野菜规模化生产基地。加快特色园艺产业发展。围绕食药用菌、棚膜果蔬、中药材等产业，重点建设以十二道沟镇、马鹿沟镇为核心的食药用菌特色农业示范区，推进长白镇和金华乡棚膜蔬菜示范基地建设，打造</w:t>
      </w:r>
      <w:r>
        <w:rPr>
          <w:rFonts w:hint="eastAsia"/>
        </w:rPr>
        <w:t>长白朝鲜族自治县</w:t>
      </w:r>
      <w:r>
        <w:t>蔬菜供给基地和</w:t>
      </w:r>
      <w:r>
        <w:rPr>
          <w:rFonts w:hint="eastAsia"/>
        </w:rPr>
        <w:t>长白朝鲜族自治</w:t>
      </w:r>
      <w:r>
        <w:rPr>
          <w:rFonts w:hint="eastAsia" w:ascii="方正仿宋_GBK"/>
        </w:rPr>
        <w:t>县“菜篮子”生</w:t>
      </w:r>
      <w:r>
        <w:t>产基地。大力发展中药材产业，重点围绕天麻、沙参、桔梗、北五味子、虎眼万年青、蒲公英等，加快建设宝泉山镇北五味子综合示范基地、马鹿沟沙参综合种植示范基地等。重点围绕蓝莓、蓝靛果、不老莓、葡萄等种植业，积极发展浆果产业，形</w:t>
      </w:r>
      <w:r>
        <w:rPr>
          <w:rFonts w:hint="eastAsia" w:ascii="方正仿宋_GBK"/>
        </w:rPr>
        <w:t>成“吉林蓝莓长白寻，长白蓝莓吉林兴”的产业格局。加快生态养殖业发展。重点围绕精品蜂、黄牛、冷水鱼、梅花鹿、獭兔、林下鸡、林下猪等特色养殖业，形成“粮饲兼顾、农牧结合、循环发展”的新型养殖模式。推进一、二、三产业融合发展。加快构建种养业与二、三产业交叉融合的产业体系，推动要素跨界配置和产业有机融合。依托长白朝鲜族自治县（金华乡）蔬菜现代农业产业</w:t>
      </w:r>
      <w:r>
        <w:t>园、杉芝源生态农业有限公司、圣山阿里郎酒业有限公司等，全力推进农村产业融合发展示范园建设，引导支持龙头企业发展农产品加工流通、电子商务和农业社会化服务。重点发展现代农业观光、特色餐饮、民俗演艺、休闲农庄、采摘观光、农事体验、科普教育等业态乡村旅游，推进草莓农庄、生态农林小镇、果蔬观光采摘园、农旅体验基地等建设，打造一批设施完备、功能多样的休闲观光园区、康养基地和乡村民宿集聚区。完善配套服务体系，推进农产品集散中心、物流配送中心和展销中心建设，健全线上线下相结合的农产品营销体系。</w:t>
      </w:r>
    </w:p>
    <w:p>
      <w:pPr>
        <w:spacing w:line="560" w:lineRule="exact"/>
        <w:ind w:firstLine="632" w:firstLineChars="200"/>
        <w:rPr>
          <w:rFonts w:hint="eastAsia"/>
        </w:rPr>
      </w:pPr>
      <w:bookmarkStart w:id="126" w:name="_Toc16849"/>
      <w:r>
        <w:rPr>
          <w:rFonts w:hint="eastAsia"/>
        </w:rPr>
        <w:t>2</w:t>
      </w:r>
      <w:r>
        <w:t>﹒</w:t>
      </w:r>
      <w:r>
        <w:rPr>
          <w:rFonts w:hint="eastAsia"/>
        </w:rPr>
        <w:t>产业结构调整</w:t>
      </w:r>
      <w:bookmarkEnd w:id="126"/>
      <w:r>
        <w:rPr>
          <w:rFonts w:hint="eastAsia"/>
        </w:rPr>
        <w:t>。</w:t>
      </w:r>
    </w:p>
    <w:p>
      <w:pPr>
        <w:spacing w:line="560" w:lineRule="exact"/>
        <w:ind w:firstLine="632" w:firstLineChars="200"/>
      </w:pPr>
      <w:r>
        <w:t>发</w:t>
      </w:r>
      <w:r>
        <w:rPr>
          <w:rFonts w:hint="eastAsia" w:ascii="方正仿宋_GBK"/>
        </w:rPr>
        <w:t>展“四大主导产业”，从产业结构上，发挥比较优势，加快转型升级，不断壮大新旅游、新农业、新边贸、新材料产业，形成多点发力、多业支撑的产业发展格局。</w:t>
      </w:r>
    </w:p>
    <w:p>
      <w:pPr>
        <w:spacing w:line="560" w:lineRule="exact"/>
        <w:ind w:firstLine="632" w:firstLineChars="200"/>
      </w:pPr>
      <w:r>
        <w:rPr>
          <w:b/>
        </w:rPr>
        <w:t>加快传统产业转型升级</w:t>
      </w:r>
      <w:r>
        <w:rPr>
          <w:rFonts w:hint="eastAsia"/>
          <w:b/>
        </w:rPr>
        <w:t>。</w:t>
      </w:r>
      <w:r>
        <w:t>加快林业、参业、水电业三大传统产业转型升级。林业转型上突出转换发展方向，提升森林品质，提高生态自我修复能力，发挥生态功能，深化森</w:t>
      </w:r>
      <w:r>
        <w:rPr>
          <w:rFonts w:hint="eastAsia" w:ascii="方正仿宋_GBK"/>
        </w:rPr>
        <w:t>林资源立体开发，健康有序发展林下种养殖业，探索发展碳汇交易，抓住“全国三亿青少年进森林研学教育活动”等机遇，重点发展森林研学、森林康养、森林观光等旅游新业态。参业转型上突出转移发展阵地，推动技术革新，推广和扩大非林地种参，保持人参种植面积和产量稳定，加强对人参食品、保健品的开发力度，逐渐恢复和壮大人参产业规模，打响长白区域人参品牌。水电业转型上突出转变发展理念，持续加强水资源的保护和管理，规范发展水电业，利用长白光照充足、风力较强等优势，</w:t>
      </w:r>
      <w:r>
        <w:t>大力发展光伏、风力等清洁能源发电，实现传统优势产业升级换代。</w:t>
      </w:r>
    </w:p>
    <w:p>
      <w:pPr>
        <w:spacing w:line="560" w:lineRule="exact"/>
        <w:ind w:firstLine="632" w:firstLineChars="200"/>
      </w:pPr>
      <w:r>
        <w:rPr>
          <w:b/>
        </w:rPr>
        <w:t>全力打造文化+边境旅游产业</w:t>
      </w:r>
      <w:r>
        <w:rPr>
          <w:rFonts w:hint="eastAsia"/>
          <w:b/>
        </w:rPr>
        <w:t>。</w:t>
      </w:r>
      <w:r>
        <w:t>围绕沿边区域优势，围绕长白山南坡风光、望天鹅峡谷、鸭绿江边境风光、朝鲜族民俗风情、十八道沟温泉体验、</w:t>
      </w:r>
      <w:r>
        <w:rPr>
          <w:rFonts w:hint="eastAsia"/>
          <w:color w:val="000000"/>
        </w:rPr>
        <w:t>吉林长白</w:t>
      </w:r>
      <w:r>
        <w:rPr>
          <w:color w:val="000000"/>
        </w:rPr>
        <w:t>泥粒河国家湿地公园、</w:t>
      </w:r>
      <w:r>
        <w:t>乡村休闲等特色资源，完善景区基础设施与服务功能，将望天鹅景区提升为集观光、休闲、度假、漂流和科考于一体的国家5A级旅游景区。开发休闲度假、边关山水、异国文化体验、摄影采风等边境旅游产品，推进边境旅游示范区建设，打造边境旅游节点城市</w:t>
      </w:r>
      <w:r>
        <w:rPr>
          <w:rFonts w:hint="eastAsia" w:ascii="方正仿宋_GBK"/>
        </w:rPr>
        <w:t>，构成“环山、沿江、跨国”边境旅游发展格局。深入挖掘历史民族文化内涵，加快推进千年崖城文化旅游度假区、十四道沟镇娑罗古城、果园民俗村等综合开发建设，开发民俗文化旅游精品线路。打造吃美食、住民宿、享民乐的特色朝鲜族文化体验中心，举办形式多样的朝鲜族传统民俗文化展演活动，展示长白的文化底蕴和民俗魅力。打造冬季“望天鹅冰瀑旅游节”冰雪旅游品牌，以望天鹅冰瀑景观群为核心，深入挖掘雪原、雾凇、雪村等长白冬季冰雪旅游资源，打造特色冰雪赛事、冰雪观光、冰雪休闲、冰雪游乐等多系列冰雪旅游产品，积极推进宝泉山镇老保甲—马家岗滑雪场、“土豆”滑雪场建设，开发极具参与体验性、观赏性、趣味性的冬季冰雪旅游产品和精品旅游线路，建设成为吉林省冰雪特色旅游目的地。</w:t>
      </w:r>
    </w:p>
    <w:p>
      <w:pPr>
        <w:spacing w:line="560" w:lineRule="exact"/>
        <w:ind w:firstLine="632" w:firstLineChars="200"/>
      </w:pPr>
      <w:r>
        <w:rPr>
          <w:b/>
        </w:rPr>
        <w:t>推进边境贸易</w:t>
      </w:r>
      <w:r>
        <w:rPr>
          <w:rFonts w:hint="eastAsia"/>
          <w:b/>
        </w:rPr>
        <w:t>。</w:t>
      </w:r>
      <w:r>
        <w:rPr>
          <w:rFonts w:hint="eastAsia"/>
        </w:rPr>
        <w:t>积极申报长白国家重点开发开放试验区。</w:t>
      </w:r>
      <w:r>
        <w:t>依托省级边境经济合作区建设，全力推进长白互市贸易区基础设施建设，培育发展一批边境贸易商品市场和特色商贸中心，完善边境贸易商品市场展示展销、批发零售、集聚配送功能，开发小商品免税交易、跨境电子商务、离岸服务外包等跨境外贸业务，打造对外商品批发市场和吉林省最大的边境贸易小商品集散地，建设成为跨境经济合作区的新引擎和边境经济合作的新典范。加快开通边贸结算业务，搭建发展跨境金融服务平台，拓宽与边境地区银行结算渠道。</w:t>
      </w:r>
    </w:p>
    <w:p>
      <w:pPr>
        <w:spacing w:line="560" w:lineRule="exact"/>
        <w:ind w:firstLine="632" w:firstLineChars="200"/>
      </w:pPr>
      <w:r>
        <w:rPr>
          <w:b/>
        </w:rPr>
        <w:t>壮大硅藻土产业</w:t>
      </w:r>
      <w:r>
        <w:rPr>
          <w:rFonts w:hint="eastAsia"/>
          <w:b/>
        </w:rPr>
        <w:t>。</w:t>
      </w:r>
      <w:r>
        <w:t>依托全亚洲储量最大、品质最优、得天独厚的硅藻土矿产基础，以八道沟硅藻土特色工业园区为核心载体，进一步扩大中低品位硅藻土选矿和综合利用生产能力。加大硅藻土开发力度，重点支持长富远通、大华等企业进行新技术和新工艺改造，重点围绕助滤剂、功能填料、环保功能材料、保温节能材料、硅藻土内墙装修与装饰材料、催化剂载体以及新型复合功能材料等应用领域，推进硅藻土制品生产线建设，优化升级硅藻土精深加工系列产品，延伸硅藻土加工产业链条，打造集资源开采、加工、贸易、服务和研发于一体的硅藻土产业集群，加快推动百亿硅藻谷工程建设，培育长白知名品牌。加快推进长白石、高岭石、玄武岩、花岗岩等矿产加工项目建设，提高长白石产品档次、知名度，增加产品附加值，以马鹿沟镇为载体，打造</w:t>
      </w:r>
      <w:r>
        <w:rPr>
          <w:rFonts w:hint="eastAsia" w:ascii="方正仿宋_GBK"/>
        </w:rPr>
        <w:t>成为“全国长白石交易中心”。深度开发高岭石粉、玄武岩拉丝、花</w:t>
      </w:r>
      <w:r>
        <w:t>岗岩板材等新材料产品，壮大矿产加工产业集群，实现全产业链整体跃升。</w:t>
      </w:r>
    </w:p>
    <w:p>
      <w:pPr>
        <w:spacing w:line="560" w:lineRule="exact"/>
        <w:ind w:firstLine="632" w:firstLineChars="200"/>
        <w:rPr>
          <w:rFonts w:hint="eastAsia" w:ascii="方正仿宋_GBK"/>
        </w:rPr>
      </w:pPr>
      <w:r>
        <w:rPr>
          <w:b/>
        </w:rPr>
        <w:t>着力培育商贸+现代物流产业集群</w:t>
      </w:r>
      <w:r>
        <w:rPr>
          <w:rFonts w:hint="eastAsia"/>
          <w:b/>
        </w:rPr>
        <w:t>。</w:t>
      </w:r>
      <w:r>
        <w:t>加快推进商贸服务业提级升档，培育一批特色商贸小镇。加快特色街区</w:t>
      </w:r>
      <w:r>
        <w:rPr>
          <w:rFonts w:hint="eastAsia" w:ascii="方正仿宋_GBK"/>
        </w:rPr>
        <w:t>改造提升，推进新市街餐饮一条街、民主街土特产品一条街等建设。积极发展夜经济，打造夜景、旅游演艺、特色活动、商街夜市等夜游活动载体。加快餐饮住宿特色化发展，培育一批朝鲜族餐馆和民宿酒店。大力发展“智慧零售”，开发“智慧零售”线上</w:t>
      </w:r>
      <w:r>
        <w:t>APP，打</w:t>
      </w:r>
      <w:r>
        <w:rPr>
          <w:rFonts w:hint="eastAsia" w:ascii="方正仿宋_GBK"/>
        </w:rPr>
        <w:t>造“边境线上商贸中心城市”。建立以储存为主，集加工、包装、商贸、配送为特色的仓储物流体系。加快长白朝鲜族自治县综合物流服务中心及监管货场建设，推进建设大宗资源商品综合物流园区及矿产品等专业物流中心，不断扩大大宗商品物流辐射区域。积极发展第三方物流，大力引进国内外一流仓储公司，与国内外大型企业建立大宗货物和内贸集装箱物流合作联系，形成与国际标准对接、向高端化发展的大宗商品物流产业链。</w:t>
      </w:r>
    </w:p>
    <w:p>
      <w:pPr>
        <w:spacing w:line="560" w:lineRule="exact"/>
        <w:ind w:firstLine="632" w:firstLineChars="200"/>
        <w:rPr>
          <w:rFonts w:hint="eastAsia"/>
        </w:rPr>
      </w:pPr>
      <w:bookmarkStart w:id="127" w:name="_Toc12963"/>
      <w:r>
        <w:t>3﹒能源结构调整</w:t>
      </w:r>
      <w:bookmarkEnd w:id="127"/>
      <w:r>
        <w:rPr>
          <w:rFonts w:hint="eastAsia"/>
        </w:rPr>
        <w:t>。</w:t>
      </w:r>
    </w:p>
    <w:p>
      <w:pPr>
        <w:spacing w:line="560" w:lineRule="exact"/>
        <w:ind w:firstLine="632" w:firstLineChars="200"/>
      </w:pPr>
      <w:bookmarkStart w:id="128" w:name="_Toc6103"/>
      <w:r>
        <w:rPr>
          <w:b/>
        </w:rPr>
        <w:t>加快能源结构调整，构建绿色能源体系</w:t>
      </w:r>
      <w:bookmarkEnd w:id="128"/>
      <w:r>
        <w:rPr>
          <w:rFonts w:hint="eastAsia"/>
          <w:b/>
        </w:rPr>
        <w:t>。</w:t>
      </w:r>
      <w:r>
        <w:t>推动能源清洁高效利用</w:t>
      </w:r>
      <w:r>
        <w:rPr>
          <w:rFonts w:hint="eastAsia"/>
        </w:rPr>
        <w:t>，</w:t>
      </w:r>
      <w:r>
        <w:t>加快推广天然气、太阳能、生物质、地热等清洁能源使用，构建以非化石能源为能源消费增量主体的清洁能源体系。强化农村能源环境管理，加大农村清洁能源和可再生能源的开发力度，发展低碳高效农业。进一步降低煤炭消费，不断提高非化石能源消费比重。全面推行绿色低碳建筑，提升节能标准。推广节能和新能源车辆，加快充电基础设施建设。推进清洁供暖。坚持从实际出发，宜电则电、宜气则气、宜煤则煤、宜热则热。集中供热管网覆盖区域，实施燃煤减量化、集中化、清洁化</w:t>
      </w:r>
      <w:r>
        <w:rPr>
          <w:rFonts w:hint="eastAsia"/>
        </w:rPr>
        <w:t>（</w:t>
      </w:r>
      <w:r>
        <w:t>超低排放）改造。集中供热管网未能覆盖的区域以清洁燃料供应体系为依托，鼓励使用太阳能、生物质能、地热能等清洁能源。以乡镇为单元稳妥有序推进清洁能源替代生活散煤，督促辖区内散煤燃烧居民更换型煤炉或生物质炉。</w:t>
      </w:r>
    </w:p>
    <w:p>
      <w:pPr>
        <w:spacing w:line="560" w:lineRule="exact"/>
        <w:ind w:firstLine="632" w:firstLineChars="200"/>
      </w:pPr>
      <w:bookmarkStart w:id="129" w:name="_Toc7606"/>
      <w:r>
        <w:rPr>
          <w:b/>
        </w:rPr>
        <w:t>倡导绿色低碳生活理念</w:t>
      </w:r>
      <w:bookmarkEnd w:id="129"/>
      <w:r>
        <w:rPr>
          <w:rFonts w:hint="eastAsia"/>
          <w:b/>
        </w:rPr>
        <w:t>。</w:t>
      </w:r>
      <w:r>
        <w:t>把生态文明教育纳入国民教育体系，增强全民节约意识、环保意识、生态意识，积极</w:t>
      </w:r>
      <w:r>
        <w:rPr>
          <w:rFonts w:hint="eastAsia" w:ascii="方正仿宋_GBK"/>
        </w:rPr>
        <w:t>培育生态文化、生态道德，提高公众生态文明社会责任意识。开展生态文化宣传教育，普及生态文明知识读本，使环保低碳观念深入人心，让保护生态成为自觉行动，实现生产、生活、生态的和谐统一</w:t>
      </w:r>
      <w:r>
        <w:t>。推进生活方式绿色化，倡导绿色低碳生活进家庭、进机关、进社区、进学校、进企业、进商场、进景区、进交通、进酒店，让更多的社会公民在各种活动参与过程中发挥主观能动性，引导公众履行环境保护的社会责任和义务，不断强化生活方式绿色化意识，让保护生态成为自觉行动。</w:t>
      </w:r>
    </w:p>
    <w:p>
      <w:pPr>
        <w:spacing w:line="560" w:lineRule="exact"/>
        <w:ind w:firstLine="632" w:firstLineChars="200"/>
        <w:rPr>
          <w:rFonts w:hint="eastAsia"/>
        </w:rPr>
      </w:pPr>
      <w:bookmarkStart w:id="130" w:name="_Toc10938"/>
      <w:bookmarkStart w:id="131" w:name="_Toc18301"/>
      <w:bookmarkStart w:id="132" w:name="_Toc8157"/>
      <w:r>
        <w:rPr>
          <w:rFonts w:hint="eastAsia"/>
        </w:rPr>
        <w:t>4</w:t>
      </w:r>
      <w:r>
        <w:t>﹒</w:t>
      </w:r>
      <w:r>
        <w:rPr>
          <w:rFonts w:hint="eastAsia"/>
        </w:rPr>
        <w:t>运输</w:t>
      </w:r>
      <w:r>
        <w:t>结构调整</w:t>
      </w:r>
      <w:bookmarkEnd w:id="130"/>
      <w:bookmarkEnd w:id="131"/>
      <w:bookmarkEnd w:id="132"/>
      <w:r>
        <w:rPr>
          <w:rFonts w:hint="eastAsia"/>
        </w:rPr>
        <w:t>。</w:t>
      </w:r>
    </w:p>
    <w:p>
      <w:pPr>
        <w:spacing w:line="560" w:lineRule="exact"/>
        <w:ind w:firstLine="632" w:firstLineChars="200"/>
        <w:rPr>
          <w:rFonts w:hint="eastAsia"/>
        </w:rPr>
      </w:pPr>
      <w:bookmarkStart w:id="133" w:name="_Toc4706"/>
      <w:r>
        <w:rPr>
          <w:rFonts w:hint="eastAsia" w:ascii="方正仿宋_GBK"/>
          <w:b/>
        </w:rPr>
        <w:t>打造沿边开放大通道</w:t>
      </w:r>
      <w:bookmarkEnd w:id="133"/>
      <w:r>
        <w:rPr>
          <w:rFonts w:hint="eastAsia" w:ascii="方正仿宋_GBK"/>
          <w:b/>
        </w:rPr>
        <w:t>。</w:t>
      </w:r>
      <w:r>
        <w:rPr>
          <w:rFonts w:hint="eastAsia" w:ascii="方正仿宋_GBK"/>
        </w:rPr>
        <w:t>充分发挥长白作为吉林省东部沿边开放的南北节点和区域中心的特殊地理优势，把长白建设成吉林省重要对外开放出口。立足“鸭绿江沿边开发开放经济带”，积极融入“长白通（丹）大通道”，主动对接长</w:t>
      </w:r>
      <w:r>
        <w:rPr>
          <w:rFonts w:hint="eastAsia"/>
        </w:rPr>
        <w:t>吉图区域，加快抚松至长白高速公路建设和国道G331丹东线升级改造，构建连接白山、长春、沈阳等陆路区域性交通网络。充分发挥国家一类口岸的窗口和纽带作用，进一步完善长白口岸基础设施，加快推进八道沟、十三道沟口岸建设，在域内形成多点布局、相互补充的“大通关”网络体系。加快建设“智慧口岸”，营造互联互通、顺畅便捷、高效安全的口岸通关</w:t>
      </w:r>
      <w:r>
        <w:rPr>
          <w:rFonts w:hint="eastAsia"/>
          <w:color w:val="000000"/>
        </w:rPr>
        <w:t>环境。加快高速公路建设，加大</w:t>
      </w:r>
      <w:r>
        <w:rPr>
          <w:rFonts w:hint="eastAsia"/>
        </w:rPr>
        <w:t>运输承载能力，构建多元化的对外开放通道。</w:t>
      </w:r>
    </w:p>
    <w:p>
      <w:pPr>
        <w:spacing w:line="560" w:lineRule="exact"/>
        <w:ind w:firstLine="632" w:firstLineChars="200"/>
        <w:rPr>
          <w:rFonts w:hint="eastAsia"/>
        </w:rPr>
      </w:pPr>
      <w:bookmarkStart w:id="134" w:name="_Toc21681"/>
      <w:r>
        <w:rPr>
          <w:rFonts w:hint="eastAsia"/>
          <w:b/>
        </w:rPr>
        <w:t>完善绿色交通运输体系</w:t>
      </w:r>
      <w:bookmarkEnd w:id="134"/>
      <w:r>
        <w:rPr>
          <w:rFonts w:hint="eastAsia"/>
          <w:b/>
        </w:rPr>
        <w:t>。</w:t>
      </w:r>
      <w:r>
        <w:rPr>
          <w:rFonts w:hint="eastAsia"/>
        </w:rPr>
        <w:t>按照县域产业绿色发展格局，以综合交通、绿色交通为引领，大力推进城乡交通一体化发展，构建完善的公路交通运输体系。对已建成交通基础设施实施节能改造，提升交通基础设施绿色发展水平。加快农村物流等基础设施建设，逐步建立全域覆盖、普惠共享、城乡一体的公共服务体系，加快乡村产业振兴，为农业农村现代化助力。</w:t>
      </w:r>
    </w:p>
    <w:p>
      <w:pPr>
        <w:spacing w:line="560" w:lineRule="exact"/>
        <w:ind w:firstLine="632" w:firstLineChars="200"/>
      </w:pPr>
      <w:bookmarkStart w:id="135" w:name="_Toc67564583"/>
      <w:bookmarkStart w:id="136" w:name="_Toc59463745"/>
      <w:bookmarkStart w:id="137" w:name="_Toc59814409"/>
      <w:bookmarkStart w:id="138" w:name="_Toc29138"/>
      <w:r>
        <w:rPr>
          <w:rFonts w:hint="eastAsia"/>
          <w:b/>
        </w:rPr>
        <w:t>提升综合交通网络运输能力</w:t>
      </w:r>
      <w:bookmarkEnd w:id="135"/>
      <w:bookmarkEnd w:id="136"/>
      <w:bookmarkEnd w:id="137"/>
      <w:bookmarkEnd w:id="138"/>
      <w:r>
        <w:rPr>
          <w:rFonts w:hint="eastAsia"/>
          <w:b/>
        </w:rPr>
        <w:t>。</w:t>
      </w:r>
      <w:r>
        <w:rPr>
          <w:rFonts w:hint="eastAsia"/>
        </w:rPr>
        <w:t>强化交通路网建设，加大农村、国边防等公路维护建设力度，加快抚松至长白高速公路等重大交通基础设施项目建设步伐，提升长白朝鲜族自治县国道G331东北边境风景道等建设，畅通公路“大通道”网络，实现长白与长春、吉林、抚松、辉南、长白山等大城市和周边县市、长白山机场之间的高等级公路连接，着力构建“一横三环四纵”的现代综合立体交通运输体系。构筑以县城为中心辐射各乡镇的“放射型”城乡公路交通网络，覆盖县域乡镇、重点行政村，重点推进泥粒河水库至十三道沟公路、长白朝鲜族自治县</w:t>
      </w:r>
      <w:r>
        <w:rPr>
          <w:rFonts w:hint="eastAsia"/>
          <w:color w:val="000000"/>
        </w:rPr>
        <w:t>县道等</w:t>
      </w:r>
      <w:r>
        <w:rPr>
          <w:rFonts w:hint="eastAsia"/>
        </w:rPr>
        <w:t>工程建设。加快推动安防工程建设，切实保障交通运输安全。</w:t>
      </w:r>
    </w:p>
    <w:p>
      <w:pPr>
        <w:spacing w:line="560" w:lineRule="exact"/>
        <w:ind w:firstLine="632" w:firstLineChars="200"/>
      </w:pPr>
      <w:bookmarkStart w:id="139" w:name="_Toc6835"/>
      <w:bookmarkStart w:id="140" w:name="_Toc32143"/>
      <w:bookmarkStart w:id="141" w:name="_Toc31431"/>
      <w:r>
        <w:rPr>
          <w:rFonts w:hint="eastAsia"/>
        </w:rPr>
        <w:t>5</w:t>
      </w:r>
      <w:r>
        <w:t>﹒</w:t>
      </w:r>
      <w:r>
        <w:rPr>
          <w:rFonts w:hint="eastAsia"/>
        </w:rPr>
        <w:t>行业清洁化生产</w:t>
      </w:r>
      <w:bookmarkEnd w:id="139"/>
      <w:r>
        <w:rPr>
          <w:rFonts w:hint="eastAsia"/>
        </w:rPr>
        <w:t>。</w:t>
      </w:r>
    </w:p>
    <w:p>
      <w:pPr>
        <w:spacing w:line="560" w:lineRule="exact"/>
        <w:ind w:firstLine="632" w:firstLineChars="200"/>
        <w:rPr>
          <w:rFonts w:hint="eastAsia" w:ascii="方正仿宋_GBK"/>
        </w:rPr>
      </w:pPr>
      <w:r>
        <w:rPr>
          <w:b/>
        </w:rPr>
        <w:t>推进行业清洁生产。</w:t>
      </w:r>
      <w:r>
        <w:t>系统推进工业、农业、建筑业、服务业等领域清洁生产，引导重点行业深入实</w:t>
      </w:r>
      <w:r>
        <w:rPr>
          <w:rFonts w:hint="eastAsia" w:ascii="方正仿宋_GBK"/>
        </w:rPr>
        <w:t>施清洁生产改造。以“双超”“双有”为重点，深入推进强制性清洁生产审核。</w:t>
      </w:r>
    </w:p>
    <w:p>
      <w:pPr>
        <w:spacing w:line="560" w:lineRule="exact"/>
        <w:ind w:firstLine="632" w:firstLineChars="200"/>
      </w:pPr>
      <w:r>
        <w:rPr>
          <w:rFonts w:hint="eastAsia" w:ascii="方正仿宋_GBK"/>
          <w:b/>
        </w:rPr>
        <w:t>实施农业清洁生产。</w:t>
      </w:r>
      <w:r>
        <w:rPr>
          <w:rFonts w:hint="eastAsia" w:ascii="方正仿宋_GBK"/>
        </w:rPr>
        <w:t>强化病虫害</w:t>
      </w:r>
      <w:r>
        <w:t>监测预警，推动农药化肥零增长绿色防控和统防统治机制。普及推广科学用药技术，引导果农扩穴改土、增施有机肥，控制使用化肥、减少使用除草剂等，推广水肥融合，以产定肥，做到精准施肥。鼓励创建标准示范果园，减少农业生产资料的投入，提升农业生产过程清洁化水平。</w:t>
      </w:r>
    </w:p>
    <w:p>
      <w:pPr>
        <w:spacing w:line="560" w:lineRule="exact"/>
        <w:ind w:firstLine="632" w:firstLineChars="200"/>
      </w:pPr>
      <w:bookmarkStart w:id="142" w:name="_Toc21680"/>
      <w:r>
        <w:rPr>
          <w:rFonts w:hint="eastAsia"/>
        </w:rPr>
        <w:t>6</w:t>
      </w:r>
      <w:r>
        <w:t>﹒</w:t>
      </w:r>
      <w:r>
        <w:rPr>
          <w:rFonts w:hint="eastAsia"/>
        </w:rPr>
        <w:t>园区循环化改造</w:t>
      </w:r>
      <w:bookmarkEnd w:id="142"/>
      <w:r>
        <w:rPr>
          <w:rFonts w:hint="eastAsia"/>
        </w:rPr>
        <w:t>。</w:t>
      </w:r>
    </w:p>
    <w:p>
      <w:pPr>
        <w:spacing w:line="560" w:lineRule="exact"/>
        <w:ind w:firstLine="632" w:firstLineChars="200"/>
      </w:pPr>
      <w:r>
        <w:rPr>
          <w:b/>
        </w:rPr>
        <w:t>制定产业准入负面清单。</w:t>
      </w:r>
      <w:r>
        <w:t>制定产业发展准入清单和负面清单，对现有主导产业、现有一般产业和规划发展产业等，提出明确的管控要求和限制、禁止措施。深入落实主体功能区规划要求，合理确定产业发展布局、结构和规模。针对工业园区，突出培育园区主导产业，提升园区承载能力，按照园区发展功能定位，明确各行业禁止新建类、限制类、淘汰类及落后类生产产能、生产工艺、装备技术、生产产品等，规范入园企业形成产业化集聚发展。</w:t>
      </w:r>
    </w:p>
    <w:p>
      <w:pPr>
        <w:spacing w:line="560" w:lineRule="exact"/>
        <w:ind w:firstLine="632" w:firstLineChars="200"/>
      </w:pPr>
      <w:r>
        <w:rPr>
          <w:b/>
        </w:rPr>
        <w:t>全面开展园区循环化改造。</w:t>
      </w:r>
      <w:r>
        <w:t>从空间布局优化、产业结构调整、企业清洁生产、公共基础设施建设、环境保护、组织管理创新等方面，推进园区循环化改造工作，实现园区的主要资源产出率、土地产出率大幅度上升，固体废物资源化利用率、水循环利用率显著提高，主要污染物排放量大幅度降低。立足园区区位、产业、资源和政策优势，加快转变经济发展方式，推进园区绿色低碳循环发展，提升产业园区综合竞争力和可持续发展能力。</w:t>
      </w:r>
    </w:p>
    <w:p>
      <w:pPr>
        <w:spacing w:line="560" w:lineRule="exact"/>
        <w:ind w:firstLine="632" w:firstLineChars="200"/>
        <w:rPr>
          <w:rFonts w:hint="eastAsia" w:ascii="方正楷体_GBK" w:eastAsia="方正楷体_GBK"/>
        </w:rPr>
      </w:pPr>
      <w:bookmarkStart w:id="143" w:name="_Toc4364"/>
      <w:bookmarkStart w:id="144" w:name="_Toc4404"/>
      <w:r>
        <w:rPr>
          <w:rFonts w:hint="eastAsia" w:ascii="方正楷体_GBK" w:eastAsia="方正楷体_GBK"/>
        </w:rPr>
        <w:t>（五）生态生活体系建设</w:t>
      </w:r>
      <w:bookmarkEnd w:id="140"/>
      <w:bookmarkEnd w:id="141"/>
      <w:bookmarkEnd w:id="143"/>
      <w:bookmarkEnd w:id="144"/>
      <w:r>
        <w:rPr>
          <w:rFonts w:hint="eastAsia" w:ascii="方正楷体_GBK" w:eastAsia="方正楷体_GBK"/>
        </w:rPr>
        <w:t>。</w:t>
      </w:r>
    </w:p>
    <w:p>
      <w:pPr>
        <w:spacing w:line="560" w:lineRule="exact"/>
        <w:ind w:firstLine="632" w:firstLineChars="200"/>
      </w:pPr>
      <w:r>
        <w:t>将生</w:t>
      </w:r>
      <w:r>
        <w:rPr>
          <w:rFonts w:hint="eastAsia" w:ascii="方正仿宋_GBK"/>
        </w:rPr>
        <w:t>态文明建设与新型城镇化、城乡发展一体化、生活办公方式绿色化有机结合，使“生态良好、环境健康、绿色低碳、集约智能”的</w:t>
      </w:r>
      <w:r>
        <w:t>理念贯彻到城镇化全过程，构建以绿色、低碳、可持续为主要特点的新型绿色城镇化发展模式，加快形成崇尚和践行绿色低碳理念的浓厚氛围，逐步改善人居环境，促进生活方式生态化，建设绿色低碳城市。</w:t>
      </w:r>
    </w:p>
    <w:p>
      <w:pPr>
        <w:spacing w:line="560" w:lineRule="exact"/>
        <w:ind w:firstLine="632" w:firstLineChars="200"/>
        <w:rPr>
          <w:rFonts w:hint="eastAsia"/>
        </w:rPr>
      </w:pPr>
      <w:bookmarkStart w:id="145" w:name="_Toc25310"/>
      <w:bookmarkStart w:id="146" w:name="_Toc19827"/>
      <w:bookmarkStart w:id="147" w:name="_Toc14826"/>
      <w:r>
        <w:rPr>
          <w:rFonts w:hint="eastAsia"/>
        </w:rPr>
        <w:t>1</w:t>
      </w:r>
      <w:r>
        <w:t>﹒城乡环境一体化建设</w:t>
      </w:r>
      <w:bookmarkEnd w:id="145"/>
      <w:bookmarkEnd w:id="146"/>
      <w:bookmarkEnd w:id="147"/>
      <w:r>
        <w:rPr>
          <w:rFonts w:hint="eastAsia"/>
        </w:rPr>
        <w:t>。</w:t>
      </w:r>
    </w:p>
    <w:p>
      <w:pPr>
        <w:spacing w:line="560" w:lineRule="exact"/>
        <w:ind w:firstLine="632" w:firstLineChars="200"/>
      </w:pPr>
      <w:r>
        <w:rPr>
          <w:b/>
        </w:rPr>
        <w:t>提升城乡污水处理能力。</w:t>
      </w:r>
      <w:r>
        <w:t>加快建设乡镇污水处理设施及其配套工程，力争在能形成地表径流的沿河乡镇村屯建成生活污水处理设施，</w:t>
      </w:r>
      <w:r>
        <w:rPr>
          <w:rFonts w:hint="eastAsia"/>
        </w:rPr>
        <w:t>确保</w:t>
      </w:r>
      <w:r>
        <w:t>建成</w:t>
      </w:r>
      <w:r>
        <w:rPr>
          <w:rFonts w:hint="eastAsia"/>
        </w:rPr>
        <w:t>的</w:t>
      </w:r>
      <w:r>
        <w:t>乡镇污水处理</w:t>
      </w:r>
      <w:r>
        <w:rPr>
          <w:rFonts w:hint="eastAsia"/>
        </w:rPr>
        <w:t>（</w:t>
      </w:r>
      <w:r>
        <w:t>站）稳定运行。</w:t>
      </w:r>
    </w:p>
    <w:p>
      <w:pPr>
        <w:spacing w:line="560" w:lineRule="exact"/>
        <w:ind w:firstLine="632" w:firstLineChars="200"/>
      </w:pPr>
      <w:r>
        <w:rPr>
          <w:b/>
        </w:rPr>
        <w:t>保障集中饮用水水源安全。</w:t>
      </w:r>
      <w:r>
        <w:t>推进集中式饮用水水源地规范化建设，确保水源地饮用水水质安全。实施水源地生态治水工程，饮用水水源地上游调整种植业结构</w:t>
      </w:r>
      <w:r>
        <w:rPr>
          <w:rFonts w:hint="eastAsia" w:ascii="方正仿宋_GBK"/>
        </w:rPr>
        <w:t>，减少农药、化肥使用量，防止上游农业面源污染。对水质超标的地下水型饮用水水源，组织制定并实施地下水修复（防控）方案。以地下水饮用水源为重点，突出防范受污染河段侧渗和垂直补给对地下水的污染。进一步开展长白朝鲜族自治县集中式水源地和农村饮用水水源地规范化建设，确保水源地饮用水水质安全。“十四五”期间，城市集中饮用水</w:t>
      </w:r>
      <w:r>
        <w:t>水源地水质达到或优于</w:t>
      </w:r>
      <w:r>
        <w:rPr>
          <w:rFonts w:hint="eastAsia" w:ascii="宋体" w:hAnsi="宋体"/>
        </w:rPr>
        <w:t>Ⅲ</w:t>
      </w:r>
      <w:r>
        <w:t>类标准。</w:t>
      </w:r>
    </w:p>
    <w:p>
      <w:pPr>
        <w:spacing w:line="560" w:lineRule="exact"/>
        <w:ind w:firstLine="632" w:firstLineChars="200"/>
      </w:pPr>
      <w:r>
        <w:rPr>
          <w:b/>
        </w:rPr>
        <w:t>推进农村生活污水治理。</w:t>
      </w:r>
      <w:r>
        <w:t>开展农村人居环境整治提升五年行动，实施乡村绿化工程，创建宜居宜业美丽乡村示范村。加强农村生活污水治理与厕所革命衔接，积极推进厕所粪污无害处理和资源化利用。重点整治饮用水水源保护区、自然保护区、风景名胜区，重要河湖沿岸以及水质需要改善的控制单元或附近的村庄，发展农家乐、民宿等乡村旅游的村庄，人口较为集中村庄等农村生活污水治理，助推乡村旅游高质量发展，重点旅游村生活污水收集治理率达到100%。开展现有农村生活污水处理设施运行情况排查评估。以生态化、资源化、可持续为导向，选择符合</w:t>
      </w:r>
      <w:r>
        <w:rPr>
          <w:rFonts w:hint="eastAsia"/>
        </w:rPr>
        <w:t>长白朝鲜族自治县</w:t>
      </w:r>
      <w:r>
        <w:t>实际的农村生活污水治理技术。</w:t>
      </w:r>
    </w:p>
    <w:p>
      <w:pPr>
        <w:spacing w:line="560" w:lineRule="exact"/>
        <w:ind w:firstLine="632" w:firstLineChars="200"/>
      </w:pPr>
      <w:r>
        <w:rPr>
          <w:b/>
        </w:rPr>
        <w:t>城乡生活垃圾治理。</w:t>
      </w:r>
      <w:r>
        <w:t>扎实推进城区生活垃圾分类，完善垃圾收运体系，推动垃圾处理设施建设，实现城区生活垃圾分类全覆盖。制定并实施城乡一体化环卫作业规范，探索农村环境综合治理社会化服务模式，加快推动城乡一体化发展。推行农村生活垃圾干湿分离，加快垃圾源头减量和资源化利用，开展垃圾常态化治理和非正规垃圾堆放点排查整治，禁止城市垃圾向农村转移堆弃。</w:t>
      </w:r>
    </w:p>
    <w:p>
      <w:pPr>
        <w:spacing w:line="560" w:lineRule="exact"/>
        <w:ind w:firstLine="632" w:firstLineChars="200"/>
      </w:pPr>
      <w:bookmarkStart w:id="148" w:name="_Toc29307"/>
      <w:r>
        <w:rPr>
          <w:rFonts w:hint="eastAsia"/>
        </w:rPr>
        <w:t>2</w:t>
      </w:r>
      <w:r>
        <w:t>﹒</w:t>
      </w:r>
      <w:r>
        <w:rPr>
          <w:rFonts w:hint="eastAsia"/>
        </w:rPr>
        <w:t>绿色城镇化及生态城区</w:t>
      </w:r>
      <w:bookmarkEnd w:id="148"/>
      <w:r>
        <w:rPr>
          <w:rFonts w:hint="eastAsia"/>
        </w:rPr>
        <w:t>。</w:t>
      </w:r>
    </w:p>
    <w:p>
      <w:pPr>
        <w:spacing w:line="560" w:lineRule="exact"/>
        <w:ind w:firstLine="632" w:firstLineChars="200"/>
      </w:pPr>
      <w:r>
        <w:rPr>
          <w:b/>
        </w:rPr>
        <w:t>建设高品质绿色建筑。</w:t>
      </w:r>
      <w:r>
        <w:t>规范绿色建筑设计、施工、运行、管理，鼓励建设绿色农房。推进既有建筑绿色化改造，鼓励与城镇老旧小区改造、抗震加固等同步实施。开展绿色建筑、节约型机关、绿色学校、绿色医院创建行动。加强财政、金融、规划、建设等政策支持，推动高质量绿色建筑规模化发展，推广超低能耗、近零能耗建筑，发展零碳建筑。建立城市建筑能耗数据共享机制，提升建筑能耗监测能力。推动区域建筑能效提升，推广合同能源管理、合同节水管理服务模式，降低建筑运行能耗、水耗，大力推动可再生能源应用与绿色建筑融合创新发展。</w:t>
      </w:r>
    </w:p>
    <w:p>
      <w:pPr>
        <w:spacing w:line="560" w:lineRule="exact"/>
        <w:ind w:firstLine="632" w:firstLineChars="200"/>
      </w:pPr>
      <w:r>
        <w:rPr>
          <w:b/>
        </w:rPr>
        <w:t>推进化肥农药减量增效。</w:t>
      </w:r>
      <w:r>
        <w:t>深入实施化肥、农药零增长，深入开展测土配方施肥、果菜茶有机肥替代化肥、绿肥种植，持续优化肥料投入品结构，增加有机肥使用，推广肥料高效施用技术。</w:t>
      </w:r>
      <w:r>
        <w:rPr>
          <w:color w:val="000000"/>
        </w:rPr>
        <w:t>积极稳妥推进高毒高风险农药淘汰，</w:t>
      </w:r>
      <w:r>
        <w:t>加快推广低毒低残留农药和高效大中型植保机械，因地制宜集成应用和推进农作物病虫害专业化防治和绿色防控，加快构建现代化病虫害监测预警和应急防控体系。推进兽用抗菌药使用减量化，规范饲料和饲料添加剂生产使用。</w:t>
      </w:r>
    </w:p>
    <w:p>
      <w:pPr>
        <w:spacing w:line="560" w:lineRule="exact"/>
        <w:ind w:firstLine="632" w:firstLineChars="200"/>
      </w:pPr>
      <w:r>
        <w:rPr>
          <w:b/>
        </w:rPr>
        <w:t>做好畜禽养殖污染治理工作。</w:t>
      </w:r>
      <w:r>
        <w:t>认</w:t>
      </w:r>
      <w:r>
        <w:rPr>
          <w:rFonts w:hint="eastAsia" w:ascii="方正仿宋_GBK"/>
        </w:rPr>
        <w:t>真落实畜禽养殖“禁养区”规划，统筹做好生态保护与产业发展工作，配合推进禁养区畜禽养殖场的关闭或搬迁工作；大力推广先进治污技术，探索畜禽养殖污染治理新模式，分区分类指导规模养殖场污染防治；深入开展畜禽养殖污染综合化利用工作，推广新工艺、新技术、新模式，加强养殖废弃</w:t>
      </w:r>
      <w:r>
        <w:t>物综合利用，推进种养结合，发展循环农业，对于不具备粪污自行处理能力的养殖场，重点推广第三方治理模式，由第三方统一收集、集中处理。</w:t>
      </w:r>
    </w:p>
    <w:p>
      <w:pPr>
        <w:tabs>
          <w:tab w:val="left" w:pos="4635"/>
        </w:tabs>
        <w:spacing w:line="560" w:lineRule="exact"/>
        <w:ind w:firstLine="632" w:firstLineChars="200"/>
      </w:pPr>
      <w:bookmarkStart w:id="149" w:name="_Toc10397"/>
      <w:r>
        <w:rPr>
          <w:rFonts w:hint="eastAsia"/>
        </w:rPr>
        <w:t>3</w:t>
      </w:r>
      <w:r>
        <w:t>﹒</w:t>
      </w:r>
      <w:r>
        <w:rPr>
          <w:rFonts w:hint="eastAsia"/>
        </w:rPr>
        <w:t>乡村生态振兴和美丽乡村</w:t>
      </w:r>
      <w:bookmarkEnd w:id="149"/>
      <w:r>
        <w:rPr>
          <w:rFonts w:hint="eastAsia"/>
        </w:rPr>
        <w:t>。</w:t>
      </w:r>
    </w:p>
    <w:p>
      <w:pPr>
        <w:spacing w:line="560" w:lineRule="exact"/>
        <w:ind w:firstLine="632" w:firstLineChars="200"/>
      </w:pPr>
      <w:r>
        <w:rPr>
          <w:b/>
        </w:rPr>
        <w:t>实施农村厕所革命专项行动。</w:t>
      </w:r>
      <w:r>
        <w:t>逐步普及农村卫生厕所，新改户用厕所基本入院，积极推动厕所入室，合理规划布局农村公共厕所，加快建设乡村景区旅游厕所，落实公共厕所管护责任，强化日常卫生保洁</w:t>
      </w:r>
      <w:r>
        <w:rPr>
          <w:rFonts w:hint="eastAsia"/>
        </w:rPr>
        <w:t>。</w:t>
      </w:r>
      <w:r>
        <w:t>切实提高改厕质量，科学选择改厕技术模式，宜水则水、宜旱则旱，把标准贯穿于农村改厕全过程，加强农村改厕产品质量监管</w:t>
      </w:r>
      <w:r>
        <w:rPr>
          <w:rFonts w:hint="eastAsia"/>
        </w:rPr>
        <w:t>。</w:t>
      </w:r>
      <w:r>
        <w:t>加强厕所粪污无害化处理与资源化利用，加强农村厕所革命与生活污水治理有机衔接，因地制宜推进厕所粪污分散处理、集中处理与纳入污水管网统一处理，鼓励联户、联村、村镇一体处理，统筹使用畜禽粪污资源化利用设施设备，逐步推动厕所粪污就地就农消纳、综合利用。</w:t>
      </w:r>
    </w:p>
    <w:p>
      <w:pPr>
        <w:spacing w:line="560" w:lineRule="exact"/>
        <w:ind w:firstLine="632" w:firstLineChars="200"/>
      </w:pPr>
      <w:r>
        <w:rPr>
          <w:b/>
        </w:rPr>
        <w:t>促进乡村振兴。</w:t>
      </w:r>
      <w:r>
        <w:t>落实</w:t>
      </w:r>
      <w:r>
        <w:rPr>
          <w:rFonts w:hint="eastAsia" w:ascii="方正仿宋_GBK"/>
        </w:rPr>
        <w:t>吉林省“千村示范、百村提升”工程，</w:t>
      </w:r>
      <w:r>
        <w:t>聚集资源、整合要素，补短板、强弱项，高标准打造53个</w:t>
      </w:r>
      <w:r>
        <w:rPr>
          <w:rFonts w:hint="eastAsia"/>
          <w:color w:val="000000"/>
        </w:rPr>
        <w:t>边境</w:t>
      </w:r>
      <w:r>
        <w:rPr>
          <w:color w:val="000000"/>
        </w:rPr>
        <w:t>村，</w:t>
      </w:r>
      <w:r>
        <w:t>引领带动乡村振兴战略有序推进。通过集中配置符合农村生活生产特点的各类服务设施，提升乡村的公共服务水平；推进供排水设施、供热设施、环卫设施、通信设施农村全覆盖。鼓励和引导城市优质公共服务资源向农村延伸，充分发挥乡镇带动作用，为乡村发展补短板、提功能、优布局。</w:t>
      </w:r>
    </w:p>
    <w:p>
      <w:pPr>
        <w:spacing w:line="560" w:lineRule="exact"/>
        <w:ind w:firstLine="632" w:firstLineChars="200"/>
      </w:pPr>
      <w:bookmarkStart w:id="150" w:name="_Toc15030"/>
      <w:r>
        <w:rPr>
          <w:rFonts w:hint="eastAsia"/>
        </w:rPr>
        <w:t>4</w:t>
      </w:r>
      <w:r>
        <w:t>﹒</w:t>
      </w:r>
      <w:r>
        <w:rPr>
          <w:rFonts w:hint="eastAsia"/>
        </w:rPr>
        <w:t>绿色生活方式</w:t>
      </w:r>
      <w:bookmarkEnd w:id="150"/>
      <w:r>
        <w:rPr>
          <w:rFonts w:hint="eastAsia"/>
        </w:rPr>
        <w:t>。</w:t>
      </w:r>
    </w:p>
    <w:p>
      <w:pPr>
        <w:spacing w:line="560" w:lineRule="exact"/>
        <w:ind w:firstLine="632" w:firstLineChars="200"/>
      </w:pPr>
      <w:r>
        <w:rPr>
          <w:b/>
        </w:rPr>
        <w:t>广泛开展绿色生活宣传活动。</w:t>
      </w:r>
      <w:r>
        <w:t>宣传部门充分发挥职能作用，加强媒体联动，创新宣传形式，综合运用电视、广播、报纸、网络、短信等多种宣传媒介和渠道，广泛宣传绿色生活等活动开展的主要内容和重要意义，全力做好生态文明建设系列宣传活动。运用各类新媒体平台融合传播、加强典型报道，编制形式新颖、内容活泼的宣传材料，通过网络公开课、微博话题、视频短片等灵活多样的方式广泛宣传，有效引导群众践行文明健康、绿色环保</w:t>
      </w:r>
      <w:r>
        <w:rPr>
          <w:rFonts w:hint="eastAsia"/>
        </w:rPr>
        <w:t>的</w:t>
      </w:r>
      <w:r>
        <w:t>生活方式。</w:t>
      </w:r>
    </w:p>
    <w:p>
      <w:pPr>
        <w:spacing w:line="560" w:lineRule="exact"/>
        <w:ind w:firstLine="632" w:firstLineChars="200"/>
      </w:pPr>
      <w:r>
        <w:rPr>
          <w:b/>
        </w:rPr>
        <w:t>倡导绿色生产生活方式。</w:t>
      </w:r>
      <w:r>
        <w:t>倡导绿色生产生活理念，大力推进绿色消费，推动形成节约低碳、绿色文明的生产方式和消费模式。</w:t>
      </w:r>
    </w:p>
    <w:p>
      <w:pPr>
        <w:spacing w:line="560" w:lineRule="exact"/>
        <w:ind w:firstLine="632" w:firstLineChars="200"/>
      </w:pPr>
      <w:r>
        <w:rPr>
          <w:b/>
        </w:rPr>
        <w:t>鼓励绿色产品消费。</w:t>
      </w:r>
      <w:r>
        <w:t>推广高效节能电机、节能环保汽车、高效照明产品等节能产品。加大新能源汽车推广力度，加快电动汽车充电基础设施建设。组织实</w:t>
      </w:r>
      <w:r>
        <w:rPr>
          <w:rFonts w:hint="eastAsia" w:ascii="方正仿宋_GBK"/>
        </w:rPr>
        <w:t>施“以旧换新”，推广再制造发动机、变速箱，建立健全对消费者的激励机制。实施绿色建材生产和应用行动计划，推广使用节能门窗、建筑垃圾再生产品等</w:t>
      </w:r>
      <w:r>
        <w:t>绿色建材和环保装修材料。</w:t>
      </w:r>
    </w:p>
    <w:p>
      <w:pPr>
        <w:spacing w:line="560" w:lineRule="exact"/>
        <w:ind w:firstLine="632" w:firstLineChars="200"/>
      </w:pPr>
      <w:r>
        <w:rPr>
          <w:rFonts w:hint="eastAsia" w:ascii="方正仿宋_GBK"/>
          <w:b/>
        </w:rPr>
        <w:t>推广绿色办公方式。</w:t>
      </w:r>
      <w:r>
        <w:rPr>
          <w:rFonts w:hint="eastAsia" w:ascii="方正仿宋_GBK"/>
        </w:rPr>
        <w:t>以建设节约型机关为目标，将“绿色采购”“绿色办公”理念融入到机关的日常，政府机关、企事业单位内部换装节能型电器，更换非节水型器具。积极推动公务用车节能，推行办公自动化，大力推进公文无纸化传输，推广使用再生纸。建立绿色采购台账，办公设备采购节能环保产品</w:t>
      </w:r>
      <w:r>
        <w:t>。</w:t>
      </w:r>
    </w:p>
    <w:p>
      <w:pPr>
        <w:spacing w:line="560" w:lineRule="exact"/>
        <w:ind w:firstLine="632" w:firstLineChars="200"/>
        <w:rPr>
          <w:rFonts w:hint="eastAsia" w:ascii="方正楷体_GBK" w:eastAsia="方正楷体_GBK"/>
        </w:rPr>
      </w:pPr>
      <w:bookmarkStart w:id="151" w:name="_Toc3465"/>
      <w:bookmarkStart w:id="152" w:name="_Toc14943"/>
      <w:bookmarkStart w:id="153" w:name="_Toc17773"/>
      <w:bookmarkStart w:id="154" w:name="_Toc31924"/>
      <w:r>
        <w:rPr>
          <w:rFonts w:hint="eastAsia" w:ascii="方正楷体_GBK" w:eastAsia="方正楷体_GBK"/>
        </w:rPr>
        <w:t>（六）生态文化体系建设</w:t>
      </w:r>
      <w:bookmarkEnd w:id="151"/>
      <w:bookmarkEnd w:id="152"/>
      <w:bookmarkEnd w:id="153"/>
      <w:bookmarkEnd w:id="154"/>
      <w:r>
        <w:rPr>
          <w:rFonts w:hint="eastAsia" w:ascii="方正楷体_GBK" w:eastAsia="方正楷体_GBK"/>
        </w:rPr>
        <w:t>。</w:t>
      </w:r>
    </w:p>
    <w:p>
      <w:pPr>
        <w:spacing w:line="560" w:lineRule="exact"/>
        <w:ind w:firstLine="632" w:firstLineChars="200"/>
        <w:rPr>
          <w:rFonts w:hint="eastAsia"/>
        </w:rPr>
      </w:pPr>
      <w:bookmarkStart w:id="155" w:name="_Toc24373"/>
      <w:r>
        <w:rPr>
          <w:rFonts w:hint="eastAsia"/>
        </w:rPr>
        <w:t>1</w:t>
      </w:r>
      <w:r>
        <w:t>﹒</w:t>
      </w:r>
      <w:r>
        <w:rPr>
          <w:rFonts w:hint="eastAsia"/>
        </w:rPr>
        <w:t>生态文化载体建设</w:t>
      </w:r>
      <w:bookmarkEnd w:id="155"/>
      <w:r>
        <w:rPr>
          <w:rFonts w:hint="eastAsia"/>
        </w:rPr>
        <w:t>。</w:t>
      </w:r>
    </w:p>
    <w:p>
      <w:pPr>
        <w:spacing w:line="560" w:lineRule="exact"/>
        <w:ind w:firstLine="632" w:firstLineChars="200"/>
      </w:pPr>
      <w:r>
        <w:rPr>
          <w:b/>
        </w:rPr>
        <w:t>大力弘扬生态文化。</w:t>
      </w:r>
      <w:r>
        <w:t>加强生态文化基础理论</w:t>
      </w:r>
      <w:r>
        <w:rPr>
          <w:rFonts w:hint="eastAsia"/>
        </w:rPr>
        <w:t>的</w:t>
      </w:r>
      <w:r>
        <w:t>研究与学习，丰富新时代生态文化体系，推动形成适应新时代要求的思想观念、精神面貌、文明风尚、行为规范。加大生态环境宣传产品的制作和传播力度，结合地区特色和民族文化打造生态文化品牌，研发推广生态环境文化产品。加大对生态文明建设题材文学创作、影视创作、词曲创作等的支持力度，开发体现生态文明建设的网络文学、动漫、有声读物、短视频等，提高全民生态文化素养。</w:t>
      </w:r>
    </w:p>
    <w:p>
      <w:pPr>
        <w:spacing w:line="560" w:lineRule="exact"/>
        <w:ind w:firstLine="632" w:firstLineChars="200"/>
        <w:rPr>
          <w:rFonts w:hint="eastAsia" w:ascii="方正仿宋_GBK"/>
        </w:rPr>
      </w:pPr>
      <w:r>
        <w:rPr>
          <w:rFonts w:hint="eastAsia" w:ascii="方正仿宋_GBK"/>
          <w:b/>
        </w:rPr>
        <w:t>健全现代文化产业体系。</w:t>
      </w:r>
      <w:r>
        <w:rPr>
          <w:rFonts w:hint="eastAsia" w:ascii="方正仿宋_GBK"/>
        </w:rPr>
        <w:t>依托长白丰富的民俗文化资源，繁荣文艺创作，加大长白山摄影、鸭绿江流域书画艺术、朝鲜族歌舞、服饰、艺术剪纸等民俗文化遗产的市场开发、策划包装及宣传营销。大力开发长白石、朝鲜族特色纪念品等具有长白特色民俗文化产品。积极开展“高山草原露营节暨音乐节”“长白朝鲜族民俗文化旅游节”“长白望天鹅冰瀑节暨汽车拉力赛”等文化品牌活动，持续办好“农民春晚”特色节目，打造边疆“农民文化”品牌，扩大长白文化的影响力。</w:t>
      </w:r>
    </w:p>
    <w:p>
      <w:pPr>
        <w:spacing w:line="540" w:lineRule="exact"/>
        <w:ind w:firstLine="632" w:firstLineChars="200"/>
      </w:pPr>
      <w:r>
        <w:rPr>
          <w:rFonts w:hint="eastAsia" w:ascii="方正仿宋_GBK"/>
          <w:b/>
        </w:rPr>
        <w:t>积极发展广播电视事业。</w:t>
      </w:r>
      <w:r>
        <w:rPr>
          <w:rFonts w:hint="eastAsia" w:ascii="方正仿宋_GBK"/>
        </w:rPr>
        <w:t>紧紧围绕“举旗帜、聚民心、育新人、兴文化、展形象”的使命任务，坚持稳中求进、守正创新，加大广播电视事业发展投入，持续推进县级</w:t>
      </w:r>
      <w:r>
        <w:t>融媒体中心建设，提升长白融媒APP</w:t>
      </w:r>
      <w:r>
        <w:rPr>
          <w:rFonts w:hint="eastAsia"/>
        </w:rPr>
        <w:t>的</w:t>
      </w:r>
      <w:r>
        <w:t>服务功能和传播力，建强全媒体平台。围绕全县重点工作，组织开展系列大型公益文化活动，讲好长白故事，提升长白形象。</w:t>
      </w:r>
    </w:p>
    <w:p>
      <w:pPr>
        <w:spacing w:line="540" w:lineRule="exact"/>
        <w:ind w:firstLine="632" w:firstLineChars="200"/>
      </w:pPr>
      <w:bookmarkStart w:id="156" w:name="_Toc17326"/>
      <w:bookmarkStart w:id="157" w:name="_Toc29750"/>
      <w:bookmarkStart w:id="158" w:name="_Toc27351"/>
      <w:r>
        <w:rPr>
          <w:rFonts w:hint="eastAsia"/>
        </w:rPr>
        <w:t>2</w:t>
      </w:r>
      <w:r>
        <w:t>﹒</w:t>
      </w:r>
      <w:r>
        <w:rPr>
          <w:rFonts w:hint="eastAsia"/>
        </w:rPr>
        <w:t>生态文明宣传教育</w:t>
      </w:r>
      <w:bookmarkEnd w:id="156"/>
      <w:bookmarkEnd w:id="157"/>
      <w:bookmarkEnd w:id="158"/>
      <w:r>
        <w:rPr>
          <w:rFonts w:hint="eastAsia"/>
        </w:rPr>
        <w:t>。</w:t>
      </w:r>
    </w:p>
    <w:p>
      <w:pPr>
        <w:spacing w:line="540" w:lineRule="exact"/>
        <w:ind w:firstLine="632" w:firstLineChars="200"/>
      </w:pPr>
      <w:r>
        <w:rPr>
          <w:b/>
        </w:rPr>
        <w:t>健全生态文明教育体系。</w:t>
      </w:r>
      <w:r>
        <w:t>健全生态文明宣传教育网络，深入推进生态文明宣传教育进机关、进学校、进企业、进社区、进农村，把生态文明知识和课程纳入国民教育体系。大力推进民俗文化基地建设，积极推动发展红色民俗文化，坚定人民群众的理想信念。做好党政领导干部培训，将生态文明建设和环境保护作为党校主体班课堂和日常教育教学内容，纳入干部教育培训计划。到2025年，党政领导干部参加生态文明培训的人数比例达到100%。</w:t>
      </w:r>
    </w:p>
    <w:p>
      <w:pPr>
        <w:spacing w:line="540" w:lineRule="exact"/>
        <w:ind w:firstLine="632" w:firstLineChars="200"/>
        <w:rPr>
          <w:rFonts w:hint="eastAsia" w:ascii="方正仿宋_GBK"/>
        </w:rPr>
      </w:pPr>
      <w:r>
        <w:rPr>
          <w:b/>
        </w:rPr>
        <w:t>深化生态文明宣传。</w:t>
      </w:r>
      <w:r>
        <w:t>在政府的宣传引导下，充分利用电视、广播、报刊、网络等大众媒体，以及环保政务微博、社交网络、手机短信平台等新媒体，不断创新生态文明宣传教育形式。到规划期末，生态文明知识普及率达到95%。</w:t>
      </w:r>
      <w:r>
        <w:rPr>
          <w:rFonts w:hint="eastAsia" w:ascii="方正仿宋_GBK"/>
        </w:rPr>
        <w:t>结合每年“</w:t>
      </w:r>
      <w:r>
        <w:t>3</w:t>
      </w:r>
      <w:r>
        <w:rPr>
          <w:rFonts w:hint="eastAsia" w:ascii="方正仿宋_GBK"/>
        </w:rPr>
        <w:t>·</w:t>
      </w:r>
      <w:r>
        <w:t>22</w:t>
      </w:r>
      <w:r>
        <w:rPr>
          <w:rFonts w:hint="eastAsia" w:ascii="方正仿宋_GBK"/>
        </w:rPr>
        <w:t>世界水日”“</w:t>
      </w:r>
      <w:r>
        <w:t>4</w:t>
      </w:r>
      <w:r>
        <w:rPr>
          <w:rFonts w:hint="eastAsia" w:ascii="方正仿宋_GBK"/>
        </w:rPr>
        <w:t>·</w:t>
      </w:r>
      <w:r>
        <w:t>22</w:t>
      </w:r>
      <w:r>
        <w:rPr>
          <w:rFonts w:hint="eastAsia" w:ascii="方正仿宋_GBK"/>
        </w:rPr>
        <w:t>世界地球日”“</w:t>
      </w:r>
      <w:r>
        <w:t>6</w:t>
      </w:r>
      <w:r>
        <w:rPr>
          <w:rFonts w:hint="eastAsia" w:ascii="方正仿宋_GBK"/>
        </w:rPr>
        <w:t>·</w:t>
      </w:r>
      <w:r>
        <w:t>5</w:t>
      </w:r>
      <w:r>
        <w:rPr>
          <w:rFonts w:hint="eastAsia" w:ascii="方正仿宋_GBK"/>
        </w:rPr>
        <w:t>世界环境日”“</w:t>
      </w:r>
      <w:r>
        <w:t>9</w:t>
      </w:r>
      <w:r>
        <w:rPr>
          <w:rFonts w:hint="eastAsia" w:ascii="方正仿宋_GBK"/>
        </w:rPr>
        <w:t>·</w:t>
      </w:r>
      <w:r>
        <w:t>26</w:t>
      </w:r>
      <w:r>
        <w:rPr>
          <w:rFonts w:hint="eastAsia" w:ascii="方正仿宋_GBK"/>
        </w:rPr>
        <w:t>吉林生态日”和科普宣传周等重要纪念活动，充分发挥广播电视和新媒体传播矩阵作用，充分利用人民网、新华网、中国新闻网、中国吉林网、长白新闻微信公众号以及短视频平台，大力开展生态文明建设宣传。积极培育生态文化、生态道德，引导全社会树立生态文明意识，使生态文明成为社会主流价值观，成为社会主义核心价值观的重要内容。加强生态环境保护知识宣传教育，广泛动员全民参与生态文明建设。广泛开展绿色生活行动，推动全民在衣、食、住、行、游等方面加快向勤俭节约、绿色低碳、文明健康的方式转变。</w:t>
      </w:r>
    </w:p>
    <w:p>
      <w:pPr>
        <w:spacing w:line="540" w:lineRule="exact"/>
        <w:ind w:firstLine="632" w:firstLineChars="200"/>
        <w:rPr>
          <w:rFonts w:hint="eastAsia" w:ascii="方正仿宋_GBK"/>
        </w:rPr>
      </w:pPr>
      <w:bookmarkStart w:id="159" w:name="_Toc30027"/>
      <w:bookmarkStart w:id="160" w:name="_Toc29968"/>
      <w:bookmarkStart w:id="161" w:name="_Toc7642"/>
      <w:r>
        <w:t>3﹒</w:t>
      </w:r>
      <w:r>
        <w:rPr>
          <w:rFonts w:hint="eastAsia" w:ascii="方正仿宋_GBK"/>
        </w:rPr>
        <w:t>生态文明共建共享</w:t>
      </w:r>
      <w:bookmarkEnd w:id="159"/>
      <w:bookmarkEnd w:id="160"/>
      <w:bookmarkEnd w:id="161"/>
      <w:r>
        <w:rPr>
          <w:rFonts w:hint="eastAsia" w:ascii="方正仿宋_GBK"/>
        </w:rPr>
        <w:t>。</w:t>
      </w:r>
    </w:p>
    <w:p>
      <w:pPr>
        <w:spacing w:line="540" w:lineRule="exact"/>
        <w:ind w:firstLine="632" w:firstLineChars="200"/>
        <w:rPr>
          <w:rFonts w:hint="eastAsia" w:ascii="方正仿宋_GBK"/>
        </w:rPr>
      </w:pPr>
      <w:r>
        <w:rPr>
          <w:rFonts w:hint="eastAsia" w:ascii="方正仿宋_GBK"/>
          <w:b/>
        </w:rPr>
        <w:t>全面推进生态文明工作。</w:t>
      </w:r>
      <w:r>
        <w:rPr>
          <w:rFonts w:hint="eastAsia" w:ascii="方正仿宋_GBK"/>
        </w:rPr>
        <w:t>在植树节、森林日、湿地日、荒漠化日、生物多样性日等“绿色节日”，开展生态文明主题摄影、工艺美术、征文、音乐节等各类专题活动，推进社会民众广泛参与，在长白朝鲜族自治县人民政府网站上开设“生态文明示范区”专栏，及时发布生态文明创建相关工作信息，积极征求市民的建议和意见。积极推动“六进”（进机关、进企业、进学校、进社区、进农村、进景区）工作，提供环保咨询，发放生态文明宣传材料，开展有奖问答，带动各单位参与生态文明宣教活动，鼓励社会、单位和家庭采用环保材料，切实真正参与到生态文明建设中，感受生活及工作的改进。</w:t>
      </w:r>
    </w:p>
    <w:p>
      <w:pPr>
        <w:spacing w:line="540" w:lineRule="exact"/>
        <w:ind w:firstLine="632" w:firstLineChars="200"/>
        <w:rPr>
          <w:rFonts w:hint="eastAsia" w:ascii="方正仿宋_GBK"/>
        </w:rPr>
      </w:pPr>
      <w:r>
        <w:rPr>
          <w:rFonts w:hint="eastAsia" w:ascii="方正仿宋_GBK"/>
          <w:b/>
        </w:rPr>
        <w:t>深入开展绿色生活创建行动。</w:t>
      </w:r>
      <w:r>
        <w:rPr>
          <w:rFonts w:hint="eastAsia" w:ascii="方正仿宋_GBK"/>
        </w:rPr>
        <w:t>深化绿色机关、绿色学校、绿色企业、绿色社区等“绿色系列”创建活动，充分利用各种媒体和宣传阵地，向全社会进行绿色生态、环境保护法律法规和政策条例的宣传，增强全社会的环保意识和法制观念，不断提高市民的生态文明素质。积极倡导绿色生活方式，发展绿色文化、引导鼓励绿色消费，让绿色发展、绿色生活成为城乡的文明常态，真正做到绿色生态“人人共建、人人共管、人人共享”。</w:t>
      </w:r>
    </w:p>
    <w:p>
      <w:pPr>
        <w:spacing w:line="540" w:lineRule="exact"/>
        <w:ind w:firstLine="632" w:firstLineChars="200"/>
      </w:pPr>
      <w:r>
        <w:rPr>
          <w:b/>
        </w:rPr>
        <w:t>加强公众参与和公众监督。</w:t>
      </w:r>
      <w:r>
        <w:t>建立完善公众参与环境管理决策的有效渠道和合理机制，鼓励公众对政府环保工作、企业排污行为进行监督，广泛听取公众意见和建议，保障公众知情权、参与权、监督权和表达权。充分运用互联网、大数据等先进技术手段，提高常态环保监管的准确性和透明度。推进信访投诉工作机制改革，完善公众监督和举报反馈机制，畅通环保监督渠道。积极引导社会环保组织健康有序发展，引导具备资格的环保组织依法开展生态环境公益诉讼等活动。引导公众通过环境信访、行政调解、寻求司法救济等方式理性维护自己合法权益。力争到2025年，公众对生态文明建设的参与度和满意度均超过80%。</w:t>
      </w:r>
    </w:p>
    <w:p>
      <w:pPr>
        <w:spacing w:line="540" w:lineRule="exact"/>
        <w:ind w:firstLine="632" w:firstLineChars="200"/>
      </w:pPr>
      <w:r>
        <w:rPr>
          <w:b/>
        </w:rPr>
        <w:t>培育发展生态环保社会组织。</w:t>
      </w:r>
      <w:r>
        <w:t>充分运用培育发展社会组织专项资金，建立健全培育孵化机制，积极扶持各类生态环保类社会组织，加强生态环保类社会组织人才队伍建设，强化社会组织自律诚信体系建设，不断提高社会组织法人治理和自主运营能力，进一步拓宽生态文明建设的领域和渠道。</w:t>
      </w:r>
    </w:p>
    <w:p>
      <w:pPr>
        <w:spacing w:line="540" w:lineRule="exact"/>
        <w:ind w:firstLine="632" w:firstLineChars="200"/>
        <w:rPr>
          <w:rFonts w:hint="eastAsia"/>
        </w:rPr>
      </w:pPr>
      <w:r>
        <w:rPr>
          <w:b/>
        </w:rPr>
        <w:t>加强农村环境组织建设。</w:t>
      </w:r>
      <w:r>
        <w:t>充分发挥农民专业合作社的功能，组织农民进行社区化管理，为整体推进新农村生态文化建设提供载体和平台。加大对农村环保组织建立的支持和引导力度，乡镇统筹，以村为单位发展环境保护组织以及环境志愿者组织，构建农村生态文化支撑组织网络体系。</w:t>
      </w:r>
    </w:p>
    <w:p>
      <w:pPr>
        <w:spacing w:line="560" w:lineRule="exact"/>
        <w:ind w:firstLine="632" w:firstLineChars="200"/>
        <w:rPr>
          <w:rFonts w:hint="eastAsia"/>
        </w:rPr>
      </w:pPr>
    </w:p>
    <w:p>
      <w:pPr>
        <w:spacing w:line="560" w:lineRule="exact"/>
        <w:jc w:val="center"/>
        <w:rPr>
          <w:rFonts w:hint="eastAsia" w:ascii="方正黑体_GBK" w:eastAsia="方正黑体_GBK"/>
        </w:rPr>
      </w:pPr>
      <w:bookmarkStart w:id="162" w:name="_Toc5050"/>
      <w:bookmarkStart w:id="163" w:name="_Toc19817"/>
      <w:r>
        <w:rPr>
          <w:rFonts w:hint="eastAsia" w:ascii="方正黑体_GBK" w:eastAsia="方正黑体_GBK"/>
        </w:rPr>
        <w:t>第四章  重点工程与效益分析</w:t>
      </w:r>
      <w:bookmarkEnd w:id="162"/>
      <w:bookmarkEnd w:id="163"/>
    </w:p>
    <w:p>
      <w:pPr>
        <w:spacing w:line="560" w:lineRule="exact"/>
        <w:jc w:val="center"/>
        <w:rPr>
          <w:rFonts w:hint="eastAsia" w:ascii="方正黑体_GBK" w:eastAsia="方正黑体_GBK"/>
        </w:rPr>
      </w:pPr>
    </w:p>
    <w:p>
      <w:pPr>
        <w:spacing w:line="540" w:lineRule="exact"/>
        <w:ind w:firstLine="632" w:firstLineChars="200"/>
        <w:rPr>
          <w:rFonts w:hint="eastAsia" w:ascii="方正楷体_GBK" w:eastAsia="方正楷体_GBK"/>
        </w:rPr>
      </w:pPr>
      <w:bookmarkStart w:id="164" w:name="_Toc17914"/>
      <w:bookmarkStart w:id="165" w:name="_Toc15689"/>
      <w:r>
        <w:rPr>
          <w:rFonts w:hint="eastAsia" w:ascii="方正楷体_GBK" w:eastAsia="方正楷体_GBK"/>
        </w:rPr>
        <w:t>（一）工程内容及投资</w:t>
      </w:r>
      <w:bookmarkEnd w:id="164"/>
      <w:bookmarkEnd w:id="165"/>
      <w:r>
        <w:rPr>
          <w:rFonts w:hint="eastAsia" w:ascii="方正楷体_GBK" w:eastAsia="方正楷体_GBK"/>
        </w:rPr>
        <w:t>。</w:t>
      </w:r>
    </w:p>
    <w:p>
      <w:pPr>
        <w:spacing w:line="540" w:lineRule="exact"/>
        <w:ind w:firstLine="632" w:firstLineChars="200"/>
        <w:rPr>
          <w:rFonts w:hint="eastAsia"/>
        </w:rPr>
      </w:pPr>
      <w:r>
        <w:rPr>
          <w:rFonts w:hint="eastAsia"/>
        </w:rPr>
        <w:t>根据长白朝鲜族自治县生态文明建设示范区建设的总体目标和主要任务，结合区域现状，生态文明领域包括目标责任、生态安全、生态经济、生态文化、生态文明制度五个领域，其中，目标责任领域中生态文明建设工作占党政实绩考核的比例、党政领导干部生态环境损害责任追究制度及领导干部自然资源资产离任审计工作，长白朝鲜族自治县乡镇级党政实绩考核制度比较完善，生态损害赔偿和资产离任审计工作按部就班，稳健落实；生态文明制度领域中主要是指生态环境信息公开率，长白县近三年来生态环境信息公开率稳定达到100%，综上，本次规划期在生态安全、生态经济、生态文化3个领域内共谋划26项重点工程，近期规划重点工程17项，远期规划重点工程9项，近期投资64658.52万元，远期投资60697.21万元，总投资约125355.73万元，后续随着规划的修编和远期各职能部门规划任务的明确，适时增加重点工程。</w:t>
      </w:r>
      <w:r>
        <w:t>重点工程项目投资预算详见表</w:t>
      </w:r>
      <w:r>
        <w:rPr>
          <w:rFonts w:hint="eastAsia"/>
        </w:rPr>
        <w:t>2</w:t>
      </w:r>
      <w:r>
        <w:t>所示。</w:t>
      </w:r>
    </w:p>
    <w:p>
      <w:pPr>
        <w:spacing w:line="540" w:lineRule="exact"/>
        <w:ind w:firstLine="632" w:firstLineChars="200"/>
        <w:rPr>
          <w:rFonts w:hint="eastAsia"/>
        </w:rPr>
      </w:pPr>
    </w:p>
    <w:p>
      <w:pPr>
        <w:jc w:val="center"/>
      </w:pPr>
      <w:r>
        <w:t>表</w:t>
      </w:r>
      <w:r>
        <w:rPr>
          <w:rFonts w:hint="eastAsia"/>
        </w:rPr>
        <w:t xml:space="preserve">2  </w:t>
      </w:r>
      <w:r>
        <w:t>重点项目投资预算表</w:t>
      </w:r>
    </w:p>
    <w:tbl>
      <w:tblPr>
        <w:tblStyle w:val="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440"/>
        <w:gridCol w:w="1692"/>
        <w:gridCol w:w="1694"/>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48" w:type="dxa"/>
            <w:tcBorders>
              <w:top w:val="single" w:color="auto" w:sz="4" w:space="0"/>
              <w:lef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序号</w:t>
            </w:r>
          </w:p>
        </w:tc>
        <w:tc>
          <w:tcPr>
            <w:tcW w:w="2440" w:type="dxa"/>
            <w:tcBorders>
              <w:top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工程类别</w:t>
            </w:r>
          </w:p>
        </w:tc>
        <w:tc>
          <w:tcPr>
            <w:tcW w:w="1692" w:type="dxa"/>
            <w:tcBorders>
              <w:top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近期项目数量</w:t>
            </w:r>
          </w:p>
        </w:tc>
        <w:tc>
          <w:tcPr>
            <w:tcW w:w="1694" w:type="dxa"/>
            <w:tcBorders>
              <w:top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远期项目数量</w:t>
            </w:r>
          </w:p>
        </w:tc>
        <w:tc>
          <w:tcPr>
            <w:tcW w:w="1946" w:type="dxa"/>
            <w:tcBorders>
              <w:top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总投资（万元）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48" w:type="dxa"/>
            <w:tcBorders>
              <w:left w:val="single" w:color="auto" w:sz="4" w:space="0"/>
            </w:tcBorders>
            <w:noWrap w:val="0"/>
            <w:vAlign w:val="center"/>
          </w:tcPr>
          <w:p>
            <w:pPr>
              <w:spacing w:line="300" w:lineRule="exact"/>
              <w:jc w:val="center"/>
              <w:rPr>
                <w:sz w:val="21"/>
                <w:szCs w:val="21"/>
              </w:rPr>
            </w:pPr>
            <w:r>
              <w:rPr>
                <w:sz w:val="21"/>
                <w:szCs w:val="21"/>
              </w:rPr>
              <w:t>1</w:t>
            </w:r>
          </w:p>
        </w:tc>
        <w:tc>
          <w:tcPr>
            <w:tcW w:w="2440" w:type="dxa"/>
            <w:noWrap w:val="0"/>
            <w:vAlign w:val="center"/>
          </w:tcPr>
          <w:p>
            <w:pPr>
              <w:spacing w:line="300" w:lineRule="exact"/>
              <w:jc w:val="center"/>
              <w:rPr>
                <w:sz w:val="21"/>
                <w:szCs w:val="21"/>
              </w:rPr>
            </w:pPr>
            <w:r>
              <w:rPr>
                <w:sz w:val="21"/>
                <w:szCs w:val="21"/>
              </w:rPr>
              <w:t>生态安全体系重点工程</w:t>
            </w:r>
          </w:p>
        </w:tc>
        <w:tc>
          <w:tcPr>
            <w:tcW w:w="1692" w:type="dxa"/>
            <w:noWrap w:val="0"/>
            <w:vAlign w:val="center"/>
          </w:tcPr>
          <w:p>
            <w:pPr>
              <w:spacing w:line="300" w:lineRule="exact"/>
              <w:jc w:val="center"/>
              <w:rPr>
                <w:sz w:val="21"/>
                <w:szCs w:val="21"/>
              </w:rPr>
            </w:pPr>
            <w:r>
              <w:rPr>
                <w:rFonts w:hint="eastAsia"/>
                <w:sz w:val="21"/>
                <w:szCs w:val="21"/>
              </w:rPr>
              <w:t>12</w:t>
            </w:r>
          </w:p>
        </w:tc>
        <w:tc>
          <w:tcPr>
            <w:tcW w:w="1694" w:type="dxa"/>
            <w:noWrap w:val="0"/>
            <w:vAlign w:val="center"/>
          </w:tcPr>
          <w:p>
            <w:pPr>
              <w:spacing w:line="300" w:lineRule="exact"/>
              <w:jc w:val="center"/>
              <w:rPr>
                <w:rFonts w:hint="eastAsia"/>
                <w:sz w:val="21"/>
                <w:szCs w:val="21"/>
              </w:rPr>
            </w:pPr>
            <w:r>
              <w:rPr>
                <w:rFonts w:hint="eastAsia"/>
                <w:sz w:val="21"/>
                <w:szCs w:val="21"/>
              </w:rPr>
              <w:t>5</w:t>
            </w:r>
          </w:p>
        </w:tc>
        <w:tc>
          <w:tcPr>
            <w:tcW w:w="1946" w:type="dxa"/>
            <w:tcBorders>
              <w:right w:val="single" w:color="auto" w:sz="4" w:space="0"/>
            </w:tcBorders>
            <w:noWrap w:val="0"/>
            <w:vAlign w:val="center"/>
          </w:tcPr>
          <w:p>
            <w:pPr>
              <w:spacing w:line="300" w:lineRule="exact"/>
              <w:jc w:val="center"/>
              <w:rPr>
                <w:sz w:val="21"/>
                <w:szCs w:val="21"/>
              </w:rPr>
            </w:pPr>
            <w:r>
              <w:rPr>
                <w:rFonts w:hint="eastAsia"/>
                <w:sz w:val="21"/>
                <w:szCs w:val="21"/>
              </w:rPr>
              <w:t>59754.16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8" w:type="dxa"/>
            <w:tcBorders>
              <w:left w:val="single" w:color="auto" w:sz="4" w:space="0"/>
            </w:tcBorders>
            <w:noWrap w:val="0"/>
            <w:vAlign w:val="center"/>
          </w:tcPr>
          <w:p>
            <w:pPr>
              <w:spacing w:line="300" w:lineRule="exact"/>
              <w:jc w:val="center"/>
              <w:rPr>
                <w:sz w:val="21"/>
                <w:szCs w:val="21"/>
              </w:rPr>
            </w:pPr>
            <w:r>
              <w:rPr>
                <w:sz w:val="21"/>
                <w:szCs w:val="21"/>
              </w:rPr>
              <w:t>2</w:t>
            </w:r>
          </w:p>
        </w:tc>
        <w:tc>
          <w:tcPr>
            <w:tcW w:w="2440" w:type="dxa"/>
            <w:noWrap w:val="0"/>
            <w:vAlign w:val="center"/>
          </w:tcPr>
          <w:p>
            <w:pPr>
              <w:spacing w:line="300" w:lineRule="exact"/>
              <w:jc w:val="center"/>
              <w:rPr>
                <w:sz w:val="21"/>
                <w:szCs w:val="21"/>
              </w:rPr>
            </w:pPr>
            <w:r>
              <w:rPr>
                <w:sz w:val="21"/>
                <w:szCs w:val="21"/>
              </w:rPr>
              <w:t>生态经济体系重点工程</w:t>
            </w:r>
          </w:p>
        </w:tc>
        <w:tc>
          <w:tcPr>
            <w:tcW w:w="1692" w:type="dxa"/>
            <w:noWrap w:val="0"/>
            <w:vAlign w:val="center"/>
          </w:tcPr>
          <w:p>
            <w:pPr>
              <w:spacing w:line="300" w:lineRule="exact"/>
              <w:jc w:val="center"/>
              <w:rPr>
                <w:rFonts w:hint="eastAsia"/>
                <w:sz w:val="21"/>
                <w:szCs w:val="21"/>
              </w:rPr>
            </w:pPr>
            <w:r>
              <w:rPr>
                <w:rFonts w:hint="eastAsia"/>
                <w:sz w:val="21"/>
                <w:szCs w:val="21"/>
              </w:rPr>
              <w:t>2</w:t>
            </w:r>
          </w:p>
        </w:tc>
        <w:tc>
          <w:tcPr>
            <w:tcW w:w="1694" w:type="dxa"/>
            <w:noWrap w:val="0"/>
            <w:vAlign w:val="center"/>
          </w:tcPr>
          <w:p>
            <w:pPr>
              <w:spacing w:line="300" w:lineRule="exact"/>
              <w:jc w:val="center"/>
              <w:rPr>
                <w:rFonts w:hint="eastAsia"/>
                <w:sz w:val="21"/>
                <w:szCs w:val="21"/>
              </w:rPr>
            </w:pPr>
            <w:r>
              <w:rPr>
                <w:rFonts w:hint="eastAsia"/>
                <w:sz w:val="21"/>
                <w:szCs w:val="21"/>
              </w:rPr>
              <w:t>2</w:t>
            </w:r>
          </w:p>
        </w:tc>
        <w:tc>
          <w:tcPr>
            <w:tcW w:w="1946" w:type="dxa"/>
            <w:tcBorders>
              <w:right w:val="single" w:color="auto" w:sz="4" w:space="0"/>
            </w:tcBorders>
            <w:noWrap w:val="0"/>
            <w:vAlign w:val="center"/>
          </w:tcPr>
          <w:p>
            <w:pPr>
              <w:spacing w:line="300" w:lineRule="exact"/>
              <w:jc w:val="center"/>
              <w:rPr>
                <w:sz w:val="21"/>
                <w:szCs w:val="21"/>
              </w:rPr>
            </w:pPr>
            <w:r>
              <w:rPr>
                <w:rFonts w:hint="eastAsia"/>
                <w:sz w:val="21"/>
                <w:szCs w:val="21"/>
              </w:rPr>
              <w:t>51995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48" w:type="dxa"/>
            <w:tcBorders>
              <w:left w:val="single" w:color="auto" w:sz="4" w:space="0"/>
            </w:tcBorders>
            <w:noWrap w:val="0"/>
            <w:vAlign w:val="center"/>
          </w:tcPr>
          <w:p>
            <w:pPr>
              <w:spacing w:line="300" w:lineRule="exact"/>
              <w:jc w:val="center"/>
              <w:rPr>
                <w:sz w:val="21"/>
                <w:szCs w:val="21"/>
              </w:rPr>
            </w:pPr>
            <w:r>
              <w:rPr>
                <w:sz w:val="21"/>
                <w:szCs w:val="21"/>
              </w:rPr>
              <w:t>3</w:t>
            </w:r>
          </w:p>
        </w:tc>
        <w:tc>
          <w:tcPr>
            <w:tcW w:w="2440" w:type="dxa"/>
            <w:noWrap w:val="0"/>
            <w:vAlign w:val="center"/>
          </w:tcPr>
          <w:p>
            <w:pPr>
              <w:spacing w:line="300" w:lineRule="exact"/>
              <w:jc w:val="center"/>
              <w:rPr>
                <w:sz w:val="21"/>
                <w:szCs w:val="21"/>
              </w:rPr>
            </w:pPr>
            <w:r>
              <w:rPr>
                <w:sz w:val="21"/>
                <w:szCs w:val="21"/>
              </w:rPr>
              <w:t>生态文化体系重点工程</w:t>
            </w:r>
          </w:p>
        </w:tc>
        <w:tc>
          <w:tcPr>
            <w:tcW w:w="1692" w:type="dxa"/>
            <w:noWrap w:val="0"/>
            <w:vAlign w:val="center"/>
          </w:tcPr>
          <w:p>
            <w:pPr>
              <w:spacing w:line="300" w:lineRule="exact"/>
              <w:jc w:val="center"/>
              <w:rPr>
                <w:rFonts w:hint="eastAsia"/>
                <w:sz w:val="21"/>
                <w:szCs w:val="21"/>
              </w:rPr>
            </w:pPr>
            <w:r>
              <w:rPr>
                <w:rFonts w:hint="eastAsia"/>
                <w:sz w:val="21"/>
                <w:szCs w:val="21"/>
              </w:rPr>
              <w:t>3</w:t>
            </w:r>
          </w:p>
        </w:tc>
        <w:tc>
          <w:tcPr>
            <w:tcW w:w="1694" w:type="dxa"/>
            <w:noWrap w:val="0"/>
            <w:vAlign w:val="center"/>
          </w:tcPr>
          <w:p>
            <w:pPr>
              <w:spacing w:line="300" w:lineRule="exact"/>
              <w:jc w:val="center"/>
              <w:rPr>
                <w:rFonts w:hint="eastAsia"/>
                <w:sz w:val="21"/>
                <w:szCs w:val="21"/>
              </w:rPr>
            </w:pPr>
            <w:r>
              <w:rPr>
                <w:rFonts w:hint="eastAsia"/>
                <w:sz w:val="21"/>
                <w:szCs w:val="21"/>
              </w:rPr>
              <w:t>2</w:t>
            </w:r>
          </w:p>
        </w:tc>
        <w:tc>
          <w:tcPr>
            <w:tcW w:w="1946" w:type="dxa"/>
            <w:tcBorders>
              <w:right w:val="single" w:color="auto" w:sz="4" w:space="0"/>
            </w:tcBorders>
            <w:noWrap w:val="0"/>
            <w:vAlign w:val="center"/>
          </w:tcPr>
          <w:p>
            <w:pPr>
              <w:spacing w:line="300" w:lineRule="exact"/>
              <w:jc w:val="center"/>
              <w:rPr>
                <w:sz w:val="21"/>
                <w:szCs w:val="21"/>
              </w:rPr>
            </w:pPr>
            <w:r>
              <w:rPr>
                <w:rFonts w:hint="eastAsia"/>
                <w:sz w:val="21"/>
                <w:szCs w:val="21"/>
              </w:rPr>
              <w:t>13606.57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88" w:type="dxa"/>
            <w:gridSpan w:val="2"/>
            <w:tcBorders>
              <w:left w:val="single" w:color="auto" w:sz="4" w:space="0"/>
              <w:bottom w:val="single" w:color="auto" w:sz="4" w:space="0"/>
            </w:tcBorders>
            <w:noWrap w:val="0"/>
            <w:vAlign w:val="center"/>
          </w:tcPr>
          <w:p>
            <w:pPr>
              <w:spacing w:line="300" w:lineRule="exact"/>
              <w:jc w:val="center"/>
              <w:rPr>
                <w:rFonts w:hint="eastAsia" w:ascii="方正黑体_GBK" w:eastAsia="方正黑体_GBK"/>
                <w:sz w:val="21"/>
                <w:szCs w:val="21"/>
              </w:rPr>
            </w:pPr>
            <w:r>
              <w:rPr>
                <w:rFonts w:hint="eastAsia" w:ascii="方正黑体_GBK" w:eastAsia="方正黑体_GBK"/>
                <w:sz w:val="21"/>
                <w:szCs w:val="21"/>
              </w:rPr>
              <w:t>合计</w:t>
            </w:r>
          </w:p>
        </w:tc>
        <w:tc>
          <w:tcPr>
            <w:tcW w:w="1692" w:type="dxa"/>
            <w:tcBorders>
              <w:bottom w:val="single" w:color="auto" w:sz="4" w:space="0"/>
            </w:tcBorders>
            <w:noWrap w:val="0"/>
            <w:vAlign w:val="center"/>
          </w:tcPr>
          <w:p>
            <w:pPr>
              <w:spacing w:line="300" w:lineRule="exact"/>
              <w:jc w:val="center"/>
              <w:rPr>
                <w:rFonts w:hint="eastAsia"/>
                <w:sz w:val="21"/>
                <w:szCs w:val="21"/>
              </w:rPr>
            </w:pPr>
            <w:r>
              <w:rPr>
                <w:rFonts w:hint="eastAsia"/>
                <w:sz w:val="21"/>
                <w:szCs w:val="21"/>
              </w:rPr>
              <w:t>17</w:t>
            </w:r>
          </w:p>
        </w:tc>
        <w:tc>
          <w:tcPr>
            <w:tcW w:w="1694" w:type="dxa"/>
            <w:tcBorders>
              <w:bottom w:val="single" w:color="auto" w:sz="4" w:space="0"/>
            </w:tcBorders>
            <w:noWrap w:val="0"/>
            <w:vAlign w:val="center"/>
          </w:tcPr>
          <w:p>
            <w:pPr>
              <w:spacing w:line="300" w:lineRule="exact"/>
              <w:jc w:val="center"/>
              <w:rPr>
                <w:rFonts w:hint="eastAsia"/>
                <w:sz w:val="21"/>
                <w:szCs w:val="21"/>
              </w:rPr>
            </w:pPr>
            <w:r>
              <w:rPr>
                <w:rFonts w:hint="eastAsia"/>
                <w:sz w:val="21"/>
                <w:szCs w:val="21"/>
              </w:rPr>
              <w:t>9</w:t>
            </w:r>
          </w:p>
        </w:tc>
        <w:tc>
          <w:tcPr>
            <w:tcW w:w="1946" w:type="dxa"/>
            <w:tcBorders>
              <w:bottom w:val="single" w:color="auto" w:sz="4" w:space="0"/>
              <w:right w:val="single" w:color="auto" w:sz="4" w:space="0"/>
            </w:tcBorders>
            <w:noWrap w:val="0"/>
            <w:vAlign w:val="center"/>
          </w:tcPr>
          <w:p>
            <w:pPr>
              <w:spacing w:line="300" w:lineRule="exact"/>
              <w:jc w:val="center"/>
              <w:rPr>
                <w:sz w:val="21"/>
                <w:szCs w:val="21"/>
              </w:rPr>
            </w:pPr>
            <w:r>
              <w:rPr>
                <w:rFonts w:hint="eastAsia"/>
                <w:sz w:val="21"/>
                <w:szCs w:val="21"/>
              </w:rPr>
              <w:t>125355.73</w:t>
            </w:r>
          </w:p>
        </w:tc>
      </w:tr>
    </w:tbl>
    <w:p>
      <w:pPr>
        <w:spacing w:line="560" w:lineRule="exact"/>
        <w:ind w:firstLine="632" w:firstLineChars="200"/>
        <w:rPr>
          <w:rFonts w:hint="eastAsia" w:ascii="方正楷体_GBK" w:eastAsia="方正楷体_GBK"/>
        </w:rPr>
      </w:pPr>
      <w:bookmarkStart w:id="166" w:name="_Toc24701"/>
      <w:bookmarkStart w:id="167" w:name="_Toc17194"/>
      <w:r>
        <w:rPr>
          <w:rFonts w:hint="eastAsia" w:ascii="方正楷体_GBK" w:eastAsia="方正楷体_GBK"/>
        </w:rPr>
        <w:t>（二）效益分析</w:t>
      </w:r>
      <w:bookmarkEnd w:id="166"/>
      <w:bookmarkEnd w:id="167"/>
      <w:r>
        <w:rPr>
          <w:rFonts w:hint="eastAsia" w:ascii="方正楷体_GBK" w:eastAsia="方正楷体_GBK"/>
        </w:rPr>
        <w:t>。</w:t>
      </w:r>
    </w:p>
    <w:p>
      <w:pPr>
        <w:spacing w:line="560" w:lineRule="exact"/>
        <w:ind w:firstLine="632" w:firstLineChars="200"/>
        <w:rPr>
          <w:rFonts w:hint="eastAsia"/>
        </w:rPr>
      </w:pPr>
      <w:bookmarkStart w:id="168" w:name="_Toc30335"/>
      <w:r>
        <w:t>1</w:t>
      </w:r>
      <w:r>
        <w:rPr>
          <w:rFonts w:hint="eastAsia" w:ascii="方正仿宋_GBK"/>
        </w:rPr>
        <w:t>﹒</w:t>
      </w:r>
      <w:r>
        <w:t>生态环境效益</w:t>
      </w:r>
      <w:bookmarkEnd w:id="168"/>
      <w:r>
        <w:rPr>
          <w:rFonts w:hint="eastAsia"/>
        </w:rPr>
        <w:t>。</w:t>
      </w:r>
    </w:p>
    <w:p>
      <w:pPr>
        <w:spacing w:line="560" w:lineRule="exact"/>
        <w:ind w:firstLine="632" w:firstLineChars="200"/>
      </w:pPr>
      <w:r>
        <w:t>通过生态制度优化、生态环境质量改善、生态系统持续保护、生态风险管控、生态空间格局优化、生态产业循环发展、人居环境改善等措施的实施，以天然林保护工程、自然保护地整合优化工程、生活垃圾综合处理工程等重点工程为手段，</w:t>
      </w:r>
      <w:r>
        <w:rPr>
          <w:rFonts w:hint="eastAsia"/>
        </w:rPr>
        <w:t>长白朝鲜族自治县</w:t>
      </w:r>
      <w:r>
        <w:t>绿色发展水平将不断提高，国土空间开发格局进一步优化，基础设施绿色化水平不断提高，资源能源利用效率明显提升，生态安全得到保障，人居环境得到明显改善，生态环境质量将持续向好。</w:t>
      </w:r>
    </w:p>
    <w:p>
      <w:pPr>
        <w:spacing w:line="560" w:lineRule="exact"/>
        <w:ind w:firstLine="632" w:firstLineChars="200"/>
        <w:rPr>
          <w:rFonts w:hint="eastAsia"/>
        </w:rPr>
      </w:pPr>
      <w:bookmarkStart w:id="169" w:name="_Toc27975"/>
      <w:r>
        <w:rPr>
          <w:rFonts w:hint="eastAsia"/>
        </w:rPr>
        <w:t>2</w:t>
      </w:r>
      <w:r>
        <w:rPr>
          <w:rFonts w:hint="eastAsia" w:ascii="方正仿宋_GBK"/>
        </w:rPr>
        <w:t>﹒</w:t>
      </w:r>
      <w:r>
        <w:t>经济效益</w:t>
      </w:r>
      <w:bookmarkEnd w:id="169"/>
      <w:r>
        <w:rPr>
          <w:rFonts w:hint="eastAsia"/>
        </w:rPr>
        <w:t>。</w:t>
      </w:r>
    </w:p>
    <w:p>
      <w:pPr>
        <w:spacing w:line="560" w:lineRule="exact"/>
        <w:ind w:firstLine="632" w:firstLineChars="200"/>
      </w:pPr>
      <w:r>
        <w:t>重点建设项目的投资与实施将拉动产业经济的增长，为社会创造更多的就业机会。一方面加快推进具有长白特色的工业化进程，使</w:t>
      </w:r>
      <w:r>
        <w:rPr>
          <w:rFonts w:hint="eastAsia"/>
        </w:rPr>
        <w:t>长白朝鲜族自治县</w:t>
      </w:r>
      <w:r>
        <w:t>产业不断集聚、结构不断优化，并促进一般工业固体废物、危险废物等资源综合利用以及秸秆综合利用，形成高效低耗减污的资源利用方式，保障了国民经济运行效率和经济活力明显提升，综合竞争力显著提高；另一方面，加大对流域综合整治、生态环境提升、人居环境改善等基础设施建设、资源保护等建设项目的资金，使城市品位和形象从整体上得以提高，为吸引外资和民间资本投资提供了环境基础，逐步产生间接的经济效益。</w:t>
      </w:r>
    </w:p>
    <w:p>
      <w:pPr>
        <w:spacing w:line="560" w:lineRule="exact"/>
        <w:ind w:firstLine="632" w:firstLineChars="200"/>
        <w:rPr>
          <w:rFonts w:hint="eastAsia"/>
        </w:rPr>
      </w:pPr>
      <w:bookmarkStart w:id="170" w:name="_Toc25143"/>
      <w:r>
        <w:rPr>
          <w:rFonts w:hint="eastAsia"/>
        </w:rPr>
        <w:t>3</w:t>
      </w:r>
      <w:r>
        <w:rPr>
          <w:rFonts w:hint="eastAsia" w:ascii="方正仿宋_GBK"/>
        </w:rPr>
        <w:t>﹒</w:t>
      </w:r>
      <w:r>
        <w:t>社会效益</w:t>
      </w:r>
      <w:bookmarkEnd w:id="170"/>
      <w:r>
        <w:rPr>
          <w:rFonts w:hint="eastAsia"/>
        </w:rPr>
        <w:t>。</w:t>
      </w:r>
    </w:p>
    <w:p>
      <w:pPr>
        <w:spacing w:line="560" w:lineRule="exact"/>
        <w:ind w:firstLine="632" w:firstLineChars="200"/>
      </w:pPr>
      <w:r>
        <w:t>将生态文明思想渗透到全社会范围中去，使城乡居民传统的生产、生活方式和价值观向环境友好、资源节约的生态化方向转变，使普通百姓形成文明、健康、科学、环保的生产和生活方式，养成节约资源和保护环境的生活生产习惯，树立尊重自然、顺应自然和保护自然的生态价值观念。通过生态环境保护、流域水环境保护和人居环境改善工程的实施，显著提高社会公众的生活质量，增强广大群众对政府的信任，有利于促进社会的和谐稳定。</w:t>
      </w:r>
    </w:p>
    <w:p>
      <w:pPr>
        <w:spacing w:line="560" w:lineRule="exact"/>
        <w:rPr>
          <w:rFonts w:hint="eastAsia"/>
        </w:rPr>
      </w:pPr>
      <w:bookmarkStart w:id="171" w:name="_Toc11391"/>
      <w:bookmarkStart w:id="172" w:name="_Toc26334"/>
      <w:bookmarkStart w:id="173" w:name="_Toc16597"/>
      <w:bookmarkStart w:id="174" w:name="_Toc32397"/>
    </w:p>
    <w:p>
      <w:pPr>
        <w:spacing w:line="560" w:lineRule="exact"/>
        <w:jc w:val="center"/>
        <w:rPr>
          <w:rFonts w:hint="eastAsia" w:ascii="方正黑体_GBK" w:eastAsia="方正黑体_GBK"/>
        </w:rPr>
      </w:pPr>
      <w:r>
        <w:rPr>
          <w:rFonts w:hint="eastAsia" w:ascii="方正黑体_GBK" w:eastAsia="方正黑体_GBK"/>
        </w:rPr>
        <w:t>第五章  保障措施</w:t>
      </w:r>
      <w:bookmarkEnd w:id="171"/>
      <w:bookmarkEnd w:id="172"/>
      <w:bookmarkEnd w:id="173"/>
      <w:bookmarkEnd w:id="174"/>
    </w:p>
    <w:p>
      <w:pPr>
        <w:spacing w:line="560" w:lineRule="exact"/>
        <w:jc w:val="center"/>
        <w:rPr>
          <w:rFonts w:hint="eastAsia" w:ascii="方正黑体_GBK" w:eastAsia="方正黑体_GBK"/>
        </w:rPr>
      </w:pPr>
    </w:p>
    <w:p>
      <w:pPr>
        <w:spacing w:line="560" w:lineRule="exact"/>
        <w:ind w:firstLine="632" w:firstLineChars="200"/>
        <w:rPr>
          <w:rFonts w:hint="eastAsia" w:ascii="方正楷体_GBK" w:eastAsia="方正楷体_GBK"/>
        </w:rPr>
      </w:pPr>
      <w:bookmarkStart w:id="175" w:name="_Toc29586"/>
      <w:bookmarkStart w:id="176" w:name="_Toc10046"/>
      <w:r>
        <w:rPr>
          <w:rFonts w:hint="eastAsia" w:ascii="方正楷体_GBK" w:eastAsia="方正楷体_GBK"/>
        </w:rPr>
        <w:t>（一）组织领导</w:t>
      </w:r>
      <w:bookmarkEnd w:id="175"/>
      <w:bookmarkEnd w:id="176"/>
      <w:r>
        <w:rPr>
          <w:rFonts w:hint="eastAsia" w:ascii="方正楷体_GBK" w:eastAsia="方正楷体_GBK"/>
        </w:rPr>
        <w:t>。</w:t>
      </w:r>
    </w:p>
    <w:p>
      <w:pPr>
        <w:spacing w:line="560" w:lineRule="exact"/>
        <w:ind w:firstLine="632" w:firstLineChars="200"/>
      </w:pPr>
      <w:r>
        <w:rPr>
          <w:rFonts w:hint="eastAsia" w:ascii="方正仿宋_GBK"/>
        </w:rPr>
        <w:t>生态文明建设关系到长白朝鲜族自治县经济社会发展的各个方面，要坚持“党政同责、一岗双责、齐抓共管、失职追责”的原则。为保障生态文明建设示范区的顺利创建，一是由长白朝鲜族自治县生态安全工作暨生态环境保护领导小组对生态文明</w:t>
      </w:r>
      <w:r>
        <w:t>建设示范区创建的重大事项进行统一部署、综合决策，协调部门、地区之间的行动；二是</w:t>
      </w:r>
      <w:r>
        <w:rPr>
          <w:rFonts w:hint="eastAsia"/>
        </w:rPr>
        <w:t>由</w:t>
      </w:r>
      <w:r>
        <w:rPr>
          <w:rFonts w:hint="eastAsia" w:ascii="方正仿宋_GBK"/>
        </w:rPr>
        <w:t>长白朝鲜族自治县生态安全工作暨生态环境保护领导小组</w:t>
      </w:r>
      <w:r>
        <w:rPr>
          <w:rFonts w:hint="eastAsia"/>
        </w:rPr>
        <w:t>办公室</w:t>
      </w:r>
      <w:r>
        <w:t>做好组织协调、任务分解、督促检查、评估考核工作，确保形成推进创建工作的合力。</w:t>
      </w:r>
    </w:p>
    <w:p>
      <w:pPr>
        <w:spacing w:line="560" w:lineRule="exact"/>
        <w:ind w:firstLine="632" w:firstLineChars="200"/>
        <w:rPr>
          <w:rFonts w:hint="eastAsia" w:ascii="方正仿宋_GBK"/>
        </w:rPr>
      </w:pPr>
      <w:r>
        <w:rPr>
          <w:rFonts w:hint="eastAsia" w:ascii="方正仿宋_GBK"/>
          <w:b/>
        </w:rPr>
        <w:t>发挥党委和政府主导作用。</w:t>
      </w:r>
      <w:r>
        <w:rPr>
          <w:rFonts w:hint="eastAsia" w:ascii="方正仿宋_GBK"/>
        </w:rPr>
        <w:t>实行党委和政府领导成员生态文明建设示范区创建“一岗双责”，把创建工作放在突出位置，切实做到“党政同责、一岗双责”。按照创建生态文明建设示范区指标体系的要求，对每一项指标分解到各有关职能部门，具体落实到责任部门、责任单位和责任人。乡镇党委政府作为生态文明建设示范区创建的基层组织，结合各自实际制定实施生态创建年度工作计划，定期对目标任务完成情况进行自查。</w:t>
      </w:r>
    </w:p>
    <w:p>
      <w:pPr>
        <w:spacing w:line="560" w:lineRule="exact"/>
        <w:ind w:firstLine="632" w:firstLineChars="200"/>
      </w:pPr>
      <w:r>
        <w:rPr>
          <w:b/>
        </w:rPr>
        <w:t>理顺部门权责，加强部门协作。</w:t>
      </w:r>
      <w:r>
        <w:rPr>
          <w:rFonts w:hint="eastAsia"/>
        </w:rPr>
        <w:t>加强</w:t>
      </w:r>
      <w:r>
        <w:t>部门间</w:t>
      </w:r>
      <w:r>
        <w:rPr>
          <w:rFonts w:hint="eastAsia"/>
        </w:rPr>
        <w:t>沟通协调</w:t>
      </w:r>
      <w:r>
        <w:t>，</w:t>
      </w:r>
      <w:r>
        <w:rPr>
          <w:rFonts w:hint="eastAsia"/>
        </w:rPr>
        <w:t>及时</w:t>
      </w:r>
      <w:r>
        <w:t>解决生态环保重大事项，强力推进生态环保重大问题整治。研究制定生态文明建设的年度计划，分解落实生态文明建设任务，建立责任人清单，明确工作目标、工作任务、时间节点，强化责任意识。确保生态文明建设各项工程和任务的组织落实、任务落实、措施落实和管理落实。</w:t>
      </w:r>
    </w:p>
    <w:p>
      <w:pPr>
        <w:spacing w:line="560" w:lineRule="exact"/>
        <w:ind w:firstLine="632" w:firstLineChars="200"/>
        <w:rPr>
          <w:rFonts w:hint="eastAsia" w:ascii="方正楷体_GBK" w:eastAsia="方正楷体_GBK"/>
        </w:rPr>
      </w:pPr>
      <w:bookmarkStart w:id="177" w:name="_Toc5839"/>
      <w:bookmarkStart w:id="178" w:name="_Toc2308"/>
      <w:r>
        <w:rPr>
          <w:rFonts w:hint="eastAsia" w:ascii="方正楷体_GBK" w:eastAsia="方正楷体_GBK"/>
        </w:rPr>
        <w:t>（二）监督考核</w:t>
      </w:r>
      <w:bookmarkEnd w:id="177"/>
      <w:bookmarkEnd w:id="178"/>
      <w:r>
        <w:rPr>
          <w:rFonts w:hint="eastAsia" w:ascii="方正楷体_GBK" w:eastAsia="方正楷体_GBK"/>
        </w:rPr>
        <w:t>。</w:t>
      </w:r>
    </w:p>
    <w:p>
      <w:pPr>
        <w:spacing w:line="560" w:lineRule="exact"/>
        <w:ind w:firstLine="632" w:firstLineChars="200"/>
      </w:pPr>
      <w:r>
        <w:rPr>
          <w:rFonts w:hint="eastAsia" w:ascii="方正仿宋_GBK"/>
          <w:b/>
        </w:rPr>
        <w:t>实行目标责任制。</w:t>
      </w:r>
      <w:r>
        <w:rPr>
          <w:rFonts w:hint="eastAsia" w:ascii="方正仿宋_GBK"/>
        </w:rPr>
        <w:t>进一步完善目标责任制度，加大生态文明建设任务在各乡镇政府领导的绩效考核体系占比，</w:t>
      </w:r>
      <w:r>
        <w:rPr>
          <w:rFonts w:hint="eastAsia" w:ascii="方正仿宋_GBK"/>
          <w:color w:val="000000"/>
        </w:rPr>
        <w:t>实行“一把手”亲自抓、负总责，层层落实责任。组织部门要将</w:t>
      </w:r>
      <w:r>
        <w:rPr>
          <w:rFonts w:hint="eastAsia" w:ascii="方正仿宋_GBK"/>
        </w:rPr>
        <w:t>生态文明建设示范区创建目标任务完成情况作为评价各级领导班子和干部政绩的重要内容，加强对目标责任落实情况的督促、检查和考核，以确保生态创建任务全面落实</w:t>
      </w:r>
      <w:r>
        <w:t>。</w:t>
      </w:r>
    </w:p>
    <w:p>
      <w:pPr>
        <w:spacing w:line="560" w:lineRule="exact"/>
        <w:ind w:firstLine="632" w:firstLineChars="200"/>
      </w:pPr>
      <w:r>
        <w:rPr>
          <w:b/>
        </w:rPr>
        <w:t>建立奖惩机制。</w:t>
      </w:r>
      <w:r>
        <w:t>建立目标任务落实和考核结果的奖惩机制，把生态文明建设示范区创建工作实绩作为干部综合考核的重要内容，区分情节轻重，对造成生态环境损害的，予以诫勉、责令公开道歉、组织处理或党纪政纪处分，对构成犯罪的依法追究刑事责任。对领导干部离任后出现重大生态环境损害并认定其需要承担责任的，实行终身追责。</w:t>
      </w:r>
    </w:p>
    <w:p>
      <w:pPr>
        <w:spacing w:line="560" w:lineRule="exact"/>
        <w:ind w:firstLine="632" w:firstLineChars="200"/>
      </w:pPr>
      <w:r>
        <w:rPr>
          <w:b/>
        </w:rPr>
        <w:t>加强规划实施动态监管。</w:t>
      </w:r>
      <w:r>
        <w:t>定期由</w:t>
      </w:r>
      <w:r>
        <w:rPr>
          <w:rFonts w:hint="eastAsia"/>
        </w:rPr>
        <w:t>县</w:t>
      </w:r>
      <w:r>
        <w:rPr>
          <w:rFonts w:hint="eastAsia" w:ascii="方正仿宋_GBK"/>
        </w:rPr>
        <w:t>生态安全工作暨生态环境保护领导小组</w:t>
      </w:r>
      <w:r>
        <w:rPr>
          <w:rFonts w:hint="eastAsia"/>
        </w:rPr>
        <w:t>办公室</w:t>
      </w:r>
      <w:r>
        <w:t>组织相关专家学者、部门代表对规划的实施情况进行核查和监督</w:t>
      </w:r>
      <w:r>
        <w:rPr>
          <w:color w:val="000000"/>
        </w:rPr>
        <w:t>，评价规划实施情况及效益，</w:t>
      </w:r>
      <w:r>
        <w:t>提出针对性的调整对策和方案，以保障规划能够实时更新、完善，长久实施。</w:t>
      </w:r>
    </w:p>
    <w:p>
      <w:pPr>
        <w:spacing w:line="560" w:lineRule="exact"/>
        <w:ind w:firstLine="632" w:firstLineChars="200"/>
      </w:pPr>
      <w:r>
        <w:rPr>
          <w:b/>
        </w:rPr>
        <w:t>强化督查督办机构职责职能。</w:t>
      </w:r>
      <w:r>
        <w:t>建立健全人大代表、政协委员、专家学者、新闻媒体等社会各界参与的督查机制。健全重要工作责任报告制度和通报制度，凡向社会公开承诺的重大工作进展及目标任务完成情况，通过新闻媒体和政府公众信息网等向社会公布。将生态文明建设各项任务的完成情况与财政转移支付、生态补偿等资金安排挂钩，与各类评优创先挂钩。</w:t>
      </w:r>
    </w:p>
    <w:p>
      <w:pPr>
        <w:spacing w:line="560" w:lineRule="exact"/>
        <w:ind w:firstLine="632" w:firstLineChars="200"/>
        <w:rPr>
          <w:rFonts w:hint="eastAsia" w:ascii="方正楷体_GBK" w:eastAsia="方正楷体_GBK"/>
        </w:rPr>
      </w:pPr>
      <w:bookmarkStart w:id="179" w:name="_Toc23708"/>
      <w:bookmarkStart w:id="180" w:name="_Toc13149"/>
      <w:r>
        <w:rPr>
          <w:rFonts w:hint="eastAsia" w:ascii="方正楷体_GBK" w:eastAsia="方正楷体_GBK"/>
        </w:rPr>
        <w:t>（三）资金统筹</w:t>
      </w:r>
      <w:bookmarkEnd w:id="179"/>
      <w:bookmarkEnd w:id="180"/>
      <w:r>
        <w:rPr>
          <w:rFonts w:hint="eastAsia" w:ascii="方正楷体_GBK" w:eastAsia="方正楷体_GBK"/>
        </w:rPr>
        <w:t>。</w:t>
      </w:r>
    </w:p>
    <w:p>
      <w:pPr>
        <w:spacing w:line="560" w:lineRule="exact"/>
        <w:ind w:firstLine="632" w:firstLineChars="200"/>
      </w:pPr>
      <w:r>
        <w:t>长白朝鲜族自治县生态文明建设示范区创建活动，应通过提高政府、企业、社会三大主体环保投入的积极性和主动性，建立多元化的环保投资格局，多渠道筹措所需资金。</w:t>
      </w:r>
    </w:p>
    <w:p>
      <w:pPr>
        <w:spacing w:line="560" w:lineRule="exact"/>
        <w:ind w:firstLine="632" w:firstLineChars="200"/>
        <w:rPr>
          <w:rFonts w:hint="eastAsia" w:ascii="方正仿宋_GBK"/>
        </w:rPr>
      </w:pPr>
      <w:r>
        <w:rPr>
          <w:b/>
        </w:rPr>
        <w:t>加大生态文明建设投入力度。</w:t>
      </w:r>
      <w:r>
        <w:t>积极争取中</w:t>
      </w:r>
      <w:r>
        <w:rPr>
          <w:color w:val="000000"/>
        </w:rPr>
        <w:t>央、省及</w:t>
      </w:r>
      <w:r>
        <w:rPr>
          <w:rFonts w:hint="eastAsia"/>
          <w:color w:val="000000"/>
        </w:rPr>
        <w:t>市</w:t>
      </w:r>
      <w:r>
        <w:rPr>
          <w:color w:val="000000"/>
        </w:rPr>
        <w:t>级</w:t>
      </w:r>
      <w:r>
        <w:t>层面财政资金支持，建立稳定增长的财政投入机制。设立生态文明建设基金，根据生态文明建设的总体目标、建设任务及自身经济发展水平，将生态文明建设基金纳入财政预算，政府要加大对城乡生态环境保护的财政支持力度，在财政预算中足额安排生态环境保护资金，并保持逐年增长的趋势，确保生态文明建设工作正常开展。制订生态文明建</w:t>
      </w:r>
      <w:r>
        <w:rPr>
          <w:rFonts w:hint="eastAsia" w:ascii="方正仿宋_GBK"/>
        </w:rPr>
        <w:t>设专项资金使用规则，统筹专项资金使用，细化专项资金项目，将专项基金主要用于生态文明建设的重点工程和示范创建体系，保证资金的利用效率。进一步拓宽生态文明专项资金来源渠道，确保规划项目资金投入。</w:t>
      </w:r>
    </w:p>
    <w:p>
      <w:pPr>
        <w:spacing w:line="560" w:lineRule="exact"/>
        <w:ind w:firstLine="632" w:firstLineChars="200"/>
        <w:rPr>
          <w:rFonts w:hint="eastAsia" w:ascii="方正仿宋_GBK"/>
        </w:rPr>
      </w:pPr>
      <w:r>
        <w:rPr>
          <w:rFonts w:hint="eastAsia" w:ascii="方正仿宋_GBK"/>
          <w:b/>
        </w:rPr>
        <w:t>设立建设专项资金。</w:t>
      </w:r>
      <w:r>
        <w:rPr>
          <w:rFonts w:hint="eastAsia" w:ascii="方正仿宋_GBK"/>
        </w:rPr>
        <w:t>加大财政投入和政策支持力度，建立长白朝鲜族自治县生态文明发展专项资金并逐年增加，主要用于支持生态文明重点工程以及重大环境治理项目，节能环保统计、监测、执法等基础设施硬软件升级改造，生态文明宣传、教育、培训和表彰奖励等。</w:t>
      </w:r>
    </w:p>
    <w:p>
      <w:pPr>
        <w:spacing w:line="560" w:lineRule="exact"/>
        <w:ind w:firstLine="632" w:firstLineChars="200"/>
      </w:pPr>
      <w:r>
        <w:rPr>
          <w:rFonts w:hint="eastAsia" w:ascii="方正仿宋_GBK"/>
          <w:b/>
        </w:rPr>
        <w:t>促进企业环境保护投资。</w:t>
      </w:r>
      <w:r>
        <w:rPr>
          <w:rFonts w:hint="eastAsia" w:ascii="方正仿宋_GBK"/>
        </w:rPr>
        <w:t>按照“谁污染谁负责”的原则，督促企业提高对环境保护投资的主动性和积极性。明确环境保护要求，提高污染源监督性监测水平，加大执法力度，公开发布企</w:t>
      </w:r>
      <w:r>
        <w:t>业排污信息，落实企事业单位治污责任，确保污染治理设施稳定可靠运行。</w:t>
      </w:r>
    </w:p>
    <w:p>
      <w:pPr>
        <w:spacing w:line="560" w:lineRule="exact"/>
        <w:ind w:firstLine="632" w:firstLineChars="200"/>
        <w:rPr>
          <w:color w:val="000000"/>
        </w:rPr>
      </w:pPr>
      <w:r>
        <w:rPr>
          <w:b/>
        </w:rPr>
        <w:t>引导社会资本环保投入。</w:t>
      </w:r>
      <w:r>
        <w:t>对于可以采用PPP和环境污染第三方治理方式实施的环保项目，县政府加强政策引导，完善依效付费机制，鼓励机制和模式创新，引导金融机构和社会资本环保投入。</w:t>
      </w:r>
      <w:r>
        <w:rPr>
          <w:rFonts w:hint="eastAsia"/>
          <w:color w:val="000000"/>
        </w:rPr>
        <w:t>积极争取</w:t>
      </w:r>
      <w:r>
        <w:rPr>
          <w:color w:val="000000"/>
        </w:rPr>
        <w:t>国家、省级、市级财政支持</w:t>
      </w:r>
      <w:r>
        <w:rPr>
          <w:rFonts w:hint="eastAsia"/>
          <w:color w:val="000000"/>
        </w:rPr>
        <w:t>，县级财政积极筹措资金</w:t>
      </w:r>
      <w:r>
        <w:rPr>
          <w:color w:val="000000"/>
        </w:rPr>
        <w:t>，推进生态文明示范区创建工程项目有效实施。</w:t>
      </w:r>
    </w:p>
    <w:p>
      <w:pPr>
        <w:spacing w:line="560" w:lineRule="exact"/>
        <w:ind w:firstLine="632" w:firstLineChars="200"/>
        <w:rPr>
          <w:rFonts w:hint="eastAsia" w:ascii="方正楷体_GBK" w:eastAsia="方正楷体_GBK"/>
        </w:rPr>
      </w:pPr>
      <w:bookmarkStart w:id="181" w:name="_Toc6504"/>
      <w:bookmarkStart w:id="182" w:name="_Toc13364"/>
      <w:r>
        <w:rPr>
          <w:rFonts w:hint="eastAsia" w:ascii="方正楷体_GBK" w:eastAsia="方正楷体_GBK"/>
        </w:rPr>
        <w:t>（四）科技创新</w:t>
      </w:r>
      <w:bookmarkEnd w:id="181"/>
      <w:bookmarkEnd w:id="182"/>
      <w:r>
        <w:rPr>
          <w:rFonts w:hint="eastAsia" w:ascii="方正楷体_GBK" w:eastAsia="方正楷体_GBK"/>
        </w:rPr>
        <w:t>。</w:t>
      </w:r>
    </w:p>
    <w:p>
      <w:pPr>
        <w:spacing w:line="560" w:lineRule="exact"/>
        <w:ind w:firstLine="632" w:firstLineChars="200"/>
        <w:rPr>
          <w:rFonts w:hint="eastAsia" w:ascii="方正仿宋_GBK"/>
        </w:rPr>
      </w:pPr>
      <w:r>
        <w:rPr>
          <w:b/>
        </w:rPr>
        <w:t>引进和推广先进适用的技术成果。</w:t>
      </w:r>
      <w:r>
        <w:t>因地制宜，积极引进和推广生态产业、资源综合利用和固废处置、生态环境保护等方面的工艺技术。对于</w:t>
      </w:r>
      <w:r>
        <w:rPr>
          <w:rFonts w:hint="eastAsia" w:ascii="方正仿宋_GBK"/>
        </w:rPr>
        <w:t>科技含量较高的产业项目或利于环境改善的先进技术，给予享受高新技术产业和先进技术的有关优惠政策。</w:t>
      </w:r>
    </w:p>
    <w:p>
      <w:pPr>
        <w:spacing w:line="560" w:lineRule="exact"/>
        <w:ind w:firstLine="632" w:firstLineChars="200"/>
        <w:rPr>
          <w:rFonts w:hint="eastAsia" w:ascii="方正仿宋_GBK"/>
        </w:rPr>
      </w:pPr>
      <w:r>
        <w:rPr>
          <w:rFonts w:hint="eastAsia" w:ascii="方正仿宋_GBK"/>
          <w:b/>
        </w:rPr>
        <w:t>扩大科技交流合作。</w:t>
      </w:r>
      <w:r>
        <w:rPr>
          <w:rFonts w:hint="eastAsia" w:ascii="方正仿宋_GBK"/>
        </w:rPr>
        <w:t>组织干部积极到生态文明示范区创建工作成效显著的地区学习交流，学习和借鉴适用先进技术。进一步加大龙头企业的带动作用，通过“公司+基地+农户”模式，组合“企业联专业合作组织联农户”创新运作机制，提高科技支撑，进一步推动特色产业发展。</w:t>
      </w:r>
    </w:p>
    <w:p>
      <w:pPr>
        <w:spacing w:line="560" w:lineRule="exact"/>
        <w:ind w:firstLine="632" w:firstLineChars="200"/>
      </w:pPr>
      <w:r>
        <w:rPr>
          <w:b/>
        </w:rPr>
        <w:t>加强环境监测、预警能力。</w:t>
      </w:r>
      <w:r>
        <w:t>加强环境监测软硬件建设，不断提高环境监测的质量。增加农村生态环境监测网点，建成全方位、多层次、城乡全覆盖的环境监测体系。</w:t>
      </w:r>
    </w:p>
    <w:p>
      <w:pPr>
        <w:spacing w:line="560" w:lineRule="exact"/>
        <w:ind w:firstLine="632" w:firstLineChars="200"/>
        <w:rPr>
          <w:rFonts w:hint="eastAsia" w:ascii="方正楷体_GBK" w:eastAsia="方正楷体_GBK"/>
        </w:rPr>
      </w:pPr>
      <w:bookmarkStart w:id="183" w:name="_Toc5467"/>
      <w:bookmarkStart w:id="184" w:name="_Toc12856"/>
      <w:r>
        <w:rPr>
          <w:rFonts w:hint="eastAsia" w:ascii="方正楷体_GBK" w:eastAsia="方正楷体_GBK"/>
        </w:rPr>
        <w:t>（五）社会参与</w:t>
      </w:r>
      <w:bookmarkEnd w:id="183"/>
      <w:bookmarkEnd w:id="184"/>
      <w:r>
        <w:rPr>
          <w:rFonts w:hint="eastAsia" w:ascii="方正楷体_GBK" w:eastAsia="方正楷体_GBK"/>
        </w:rPr>
        <w:t>。</w:t>
      </w:r>
    </w:p>
    <w:p>
      <w:pPr>
        <w:spacing w:line="560" w:lineRule="exact"/>
        <w:ind w:firstLine="632" w:firstLineChars="200"/>
      </w:pPr>
      <w:r>
        <w:rPr>
          <w:b/>
        </w:rPr>
        <w:t>加强生态环境信息公开。</w:t>
      </w:r>
      <w:r>
        <w:t>进一步完善环境政务公开制度，为公众参与提供信息渠道支持。定期发布空气、水体、噪声等环境信息，以及重点排污企业污染物排放情况，进一步提高信息公开水平。积极引导广大公众对企业环境行为进行评判和监督，定期</w:t>
      </w:r>
      <w:r>
        <w:rPr>
          <w:rFonts w:hint="eastAsia"/>
        </w:rPr>
        <w:t>向</w:t>
      </w:r>
      <w:r>
        <w:t>社会公开，主动接受广大公众和社会各界监督。通过新的机制、政策和行动方案促使各种社会团体、媒体、研究机构、社区和居民参与到决策、管理和监督工作之中。</w:t>
      </w:r>
    </w:p>
    <w:p>
      <w:pPr>
        <w:adjustRightInd w:val="0"/>
        <w:snapToGrid w:val="0"/>
        <w:spacing w:line="560" w:lineRule="exact"/>
        <w:ind w:firstLine="632" w:firstLineChars="200"/>
        <w:rPr>
          <w:rFonts w:hint="eastAsia"/>
        </w:rPr>
      </w:pPr>
      <w:r>
        <w:rPr>
          <w:b/>
        </w:rPr>
        <w:t>加强公众监督。</w:t>
      </w:r>
      <w:r>
        <w:t>加强生态环境信息公开，加快长白朝鲜族自治县电子政务建设，进一步完善环境政务公开制度，为公众参与提供信息渠道支持。定期发布空气、水体、噪声等环境信息，以及重点排污企业污染物排放情况，进一步提高信息公开水平。逐步形成以公民监督举报、听证、新闻舆论监督等为主要内容的公众监督制度，保障公众全过程参与生态文明建设示范区创建规划、决策、实施、监督和评估的全过程。</w:t>
      </w:r>
    </w:p>
    <w:p>
      <w:pPr>
        <w:adjustRightInd w:val="0"/>
        <w:snapToGrid w:val="0"/>
        <w:spacing w:line="560" w:lineRule="exact"/>
        <w:ind w:firstLine="632" w:firstLineChars="200"/>
        <w:rPr>
          <w:rFonts w:hint="eastAsia"/>
        </w:rPr>
      </w:pPr>
    </w:p>
    <w:p>
      <w:pPr>
        <w:adjustRightInd w:val="0"/>
        <w:snapToGrid w:val="0"/>
        <w:spacing w:line="560" w:lineRule="exact"/>
        <w:ind w:left="2054" w:leftChars="200" w:hanging="1422" w:hangingChars="450"/>
        <w:rPr>
          <w:rFonts w:hint="eastAsia"/>
        </w:rPr>
      </w:pPr>
      <w:r>
        <w:rPr>
          <w:rFonts w:hint="eastAsia"/>
        </w:rPr>
        <w:t>附件：1﹒长白朝鲜族自治县生态文明建设示范区重点工程（规划近期）</w:t>
      </w:r>
    </w:p>
    <w:p>
      <w:pPr>
        <w:adjustRightInd w:val="0"/>
        <w:snapToGrid w:val="0"/>
        <w:spacing w:line="560" w:lineRule="exact"/>
        <w:ind w:left="2031" w:leftChars="493" w:hanging="474" w:hangingChars="150"/>
        <w:rPr>
          <w:rFonts w:hint="eastAsia"/>
        </w:rPr>
      </w:pPr>
      <w:r>
        <w:rPr>
          <w:rFonts w:hint="eastAsia"/>
        </w:rPr>
        <w:t>2﹒长白朝鲜族自治县生态文明建设示范区重点工程（规划远期）</w:t>
      </w:r>
    </w:p>
    <w:p>
      <w:pPr>
        <w:adjustRightInd w:val="0"/>
        <w:snapToGrid w:val="0"/>
        <w:spacing w:line="560" w:lineRule="exact"/>
        <w:rPr>
          <w:rFonts w:hint="eastAsia"/>
        </w:rPr>
        <w:sectPr>
          <w:pgSz w:w="11906" w:h="16838"/>
          <w:pgMar w:top="2098" w:right="1474" w:bottom="1985" w:left="1588" w:header="2098" w:footer="1644" w:gutter="0"/>
          <w:cols w:space="720" w:num="1"/>
          <w:docGrid w:type="linesAndChars" w:linePitch="579" w:charSpace="-842"/>
        </w:sectPr>
      </w:pPr>
    </w:p>
    <w:p>
      <w:pPr>
        <w:spacing w:line="560" w:lineRule="exact"/>
        <w:rPr>
          <w:rFonts w:hint="eastAsia"/>
        </w:rPr>
      </w:pPr>
      <w:r>
        <w:rPr>
          <w:rFonts w:hint="eastAsia" w:ascii="方正黑体_GBK" w:eastAsia="方正黑体_GBK"/>
        </w:rPr>
        <w:t>附件</w:t>
      </w:r>
      <w:r>
        <w:rPr>
          <w:rFonts w:hint="eastAsia"/>
        </w:rPr>
        <w:t>1</w:t>
      </w:r>
    </w:p>
    <w:p>
      <w:pPr>
        <w:spacing w:line="480" w:lineRule="exact"/>
        <w:rPr>
          <w:rFonts w:hint="eastAsia"/>
        </w:rPr>
      </w:pPr>
    </w:p>
    <w:p>
      <w:pPr>
        <w:spacing w:line="680" w:lineRule="exact"/>
        <w:jc w:val="center"/>
        <w:rPr>
          <w:rFonts w:hint="eastAsia" w:ascii="方正小标宋_GBK" w:eastAsia="方正小标宋_GBK"/>
          <w:sz w:val="44"/>
          <w:szCs w:val="44"/>
        </w:rPr>
      </w:pPr>
      <w:r>
        <w:rPr>
          <w:rFonts w:hint="eastAsia" w:ascii="方正小标宋_GBK" w:eastAsia="方正小标宋_GBK"/>
          <w:sz w:val="44"/>
          <w:szCs w:val="44"/>
        </w:rPr>
        <w:t>长白朝鲜族自治县生态文明建设示范区重点工程（规划近期）</w:t>
      </w:r>
    </w:p>
    <w:p>
      <w:pPr>
        <w:spacing w:line="480" w:lineRule="exact"/>
        <w:jc w:val="center"/>
        <w:rPr>
          <w:rFonts w:hint="eastAsia" w:ascii="方正小标宋_GBK" w:eastAsia="方正小标宋_GBK"/>
          <w:sz w:val="44"/>
          <w:szCs w:val="44"/>
        </w:rPr>
      </w:pPr>
    </w:p>
    <w:tbl>
      <w:tblPr>
        <w:tblStyle w:val="3"/>
        <w:tblW w:w="15010" w:type="dxa"/>
        <w:tblInd w:w="-99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212"/>
        <w:gridCol w:w="158"/>
        <w:gridCol w:w="7426"/>
        <w:gridCol w:w="1422"/>
        <w:gridCol w:w="1580"/>
        <w:gridCol w:w="14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10" w:type="dxa"/>
            <w:gridSpan w:val="7"/>
            <w:tcBorders>
              <w:top w:val="single" w:color="auto" w:sz="4" w:space="0"/>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一、生态安全体系重点工程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0" w:type="dxa"/>
            <w:tcBorders>
              <w:lef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序号</w:t>
            </w:r>
          </w:p>
        </w:tc>
        <w:tc>
          <w:tcPr>
            <w:tcW w:w="2212" w:type="dxa"/>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项目名称</w:t>
            </w:r>
          </w:p>
        </w:tc>
        <w:tc>
          <w:tcPr>
            <w:tcW w:w="7584" w:type="dxa"/>
            <w:gridSpan w:val="2"/>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主要建设内容</w:t>
            </w:r>
          </w:p>
        </w:tc>
        <w:tc>
          <w:tcPr>
            <w:tcW w:w="1422" w:type="dxa"/>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投资（万元）</w:t>
            </w:r>
          </w:p>
        </w:tc>
        <w:tc>
          <w:tcPr>
            <w:tcW w:w="1580" w:type="dxa"/>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牵头单位</w:t>
            </w:r>
          </w:p>
        </w:tc>
        <w:tc>
          <w:tcPr>
            <w:tcW w:w="1422" w:type="dxa"/>
            <w:tcBorders>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建设年限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0" w:type="dxa"/>
            <w:tcBorders>
              <w:left w:val="single" w:color="auto" w:sz="4" w:space="0"/>
            </w:tcBorders>
            <w:noWrap w:val="0"/>
            <w:vAlign w:val="center"/>
          </w:tcPr>
          <w:p>
            <w:pPr>
              <w:spacing w:line="300" w:lineRule="exact"/>
              <w:jc w:val="center"/>
              <w:rPr>
                <w:sz w:val="21"/>
                <w:szCs w:val="21"/>
              </w:rPr>
            </w:pPr>
            <w:r>
              <w:rPr>
                <w:sz w:val="21"/>
                <w:szCs w:val="21"/>
              </w:rPr>
              <w:t>1</w:t>
            </w:r>
          </w:p>
        </w:tc>
        <w:tc>
          <w:tcPr>
            <w:tcW w:w="2212" w:type="dxa"/>
            <w:noWrap w:val="0"/>
            <w:vAlign w:val="center"/>
          </w:tcPr>
          <w:p>
            <w:pPr>
              <w:spacing w:line="300" w:lineRule="exact"/>
              <w:jc w:val="center"/>
              <w:rPr>
                <w:sz w:val="21"/>
                <w:szCs w:val="21"/>
              </w:rPr>
            </w:pPr>
            <w:r>
              <w:rPr>
                <w:sz w:val="21"/>
                <w:szCs w:val="21"/>
              </w:rPr>
              <w:t>长白县冬季清洁取暖项目</w:t>
            </w:r>
          </w:p>
        </w:tc>
        <w:tc>
          <w:tcPr>
            <w:tcW w:w="7584" w:type="dxa"/>
            <w:gridSpan w:val="2"/>
            <w:noWrap w:val="0"/>
            <w:vAlign w:val="center"/>
          </w:tcPr>
          <w:p>
            <w:pPr>
              <w:spacing w:line="300" w:lineRule="exact"/>
              <w:rPr>
                <w:sz w:val="21"/>
                <w:szCs w:val="21"/>
              </w:rPr>
            </w:pPr>
            <w:r>
              <w:rPr>
                <w:rFonts w:hint="eastAsia" w:ascii="宋体" w:hAnsi="宋体"/>
                <w:sz w:val="21"/>
                <w:szCs w:val="21"/>
              </w:rPr>
              <w:t>①</w:t>
            </w:r>
            <w:r>
              <w:rPr>
                <w:sz w:val="21"/>
                <w:szCs w:val="21"/>
              </w:rPr>
              <w:t>长白县同鑫热力有限公司燃煤锅炉超低排放改造工程：对1台80吨，1台65吨燃煤锅炉进行超低排放改造，清洁替代184万m</w:t>
            </w:r>
            <w:r>
              <w:rPr>
                <w:rFonts w:hint="eastAsia"/>
                <w:sz w:val="21"/>
                <w:szCs w:val="21"/>
                <w:vertAlign w:val="superscript"/>
              </w:rPr>
              <w:t>2</w:t>
            </w:r>
            <w:r>
              <w:rPr>
                <w:sz w:val="21"/>
                <w:szCs w:val="21"/>
              </w:rPr>
              <w:t>；</w:t>
            </w:r>
            <w:r>
              <w:rPr>
                <w:rFonts w:hint="eastAsia" w:ascii="宋体" w:hAnsi="宋体"/>
                <w:sz w:val="21"/>
                <w:szCs w:val="21"/>
              </w:rPr>
              <w:t>②</w:t>
            </w:r>
            <w:r>
              <w:rPr>
                <w:sz w:val="21"/>
                <w:szCs w:val="21"/>
              </w:rPr>
              <w:t>长白县农村清洁能源改造工程：采用电、生物质、太阳能等清洁能源，开展农村清洁能源改造；</w:t>
            </w:r>
            <w:r>
              <w:rPr>
                <w:rFonts w:hint="eastAsia" w:ascii="宋体" w:hAnsi="宋体"/>
                <w:sz w:val="21"/>
                <w:szCs w:val="21"/>
              </w:rPr>
              <w:t>③</w:t>
            </w:r>
            <w:r>
              <w:rPr>
                <w:sz w:val="21"/>
                <w:szCs w:val="21"/>
              </w:rPr>
              <w:t>长白县农村建筑能效提升工程：做外墙保温，提升建筑能效。</w:t>
            </w:r>
          </w:p>
        </w:tc>
        <w:tc>
          <w:tcPr>
            <w:tcW w:w="1422" w:type="dxa"/>
            <w:noWrap w:val="0"/>
            <w:vAlign w:val="center"/>
          </w:tcPr>
          <w:p>
            <w:pPr>
              <w:spacing w:line="300" w:lineRule="exact"/>
              <w:jc w:val="center"/>
              <w:rPr>
                <w:sz w:val="21"/>
                <w:szCs w:val="21"/>
              </w:rPr>
            </w:pPr>
            <w:r>
              <w:rPr>
                <w:sz w:val="21"/>
                <w:szCs w:val="21"/>
              </w:rPr>
              <w:t>10803</w:t>
            </w:r>
          </w:p>
        </w:tc>
        <w:tc>
          <w:tcPr>
            <w:tcW w:w="1580" w:type="dxa"/>
            <w:noWrap w:val="0"/>
            <w:vAlign w:val="center"/>
          </w:tcPr>
          <w:p>
            <w:pPr>
              <w:spacing w:line="300" w:lineRule="exact"/>
              <w:rPr>
                <w:sz w:val="21"/>
                <w:szCs w:val="21"/>
              </w:rPr>
            </w:pPr>
            <w:r>
              <w:rPr>
                <w:rFonts w:hint="eastAsia"/>
                <w:sz w:val="21"/>
                <w:szCs w:val="21"/>
              </w:rPr>
              <w:t>长白朝鲜族自治县住房和城乡建设局</w:t>
            </w:r>
          </w:p>
        </w:tc>
        <w:tc>
          <w:tcPr>
            <w:tcW w:w="1422" w:type="dxa"/>
            <w:tcBorders>
              <w:right w:val="single" w:color="auto" w:sz="4" w:space="0"/>
            </w:tcBorders>
            <w:noWrap w:val="0"/>
            <w:vAlign w:val="center"/>
          </w:tcPr>
          <w:p>
            <w:pPr>
              <w:spacing w:line="300" w:lineRule="exact"/>
              <w:jc w:val="center"/>
              <w:rPr>
                <w:sz w:val="21"/>
                <w:szCs w:val="21"/>
              </w:rPr>
            </w:pPr>
            <w:r>
              <w:rPr>
                <w:rFonts w:hint="eastAsia"/>
                <w:sz w:val="21"/>
                <w:szCs w:val="21"/>
              </w:rPr>
              <w:t>2024—2027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tcBorders>
              <w:left w:val="single" w:color="auto" w:sz="4" w:space="0"/>
            </w:tcBorders>
            <w:noWrap w:val="0"/>
            <w:vAlign w:val="center"/>
          </w:tcPr>
          <w:p>
            <w:pPr>
              <w:spacing w:line="300" w:lineRule="exact"/>
              <w:jc w:val="center"/>
              <w:rPr>
                <w:sz w:val="21"/>
                <w:szCs w:val="21"/>
              </w:rPr>
            </w:pPr>
            <w:r>
              <w:rPr>
                <w:sz w:val="21"/>
                <w:szCs w:val="21"/>
              </w:rPr>
              <w:t>2</w:t>
            </w:r>
          </w:p>
        </w:tc>
        <w:tc>
          <w:tcPr>
            <w:tcW w:w="2212" w:type="dxa"/>
            <w:noWrap w:val="0"/>
            <w:vAlign w:val="center"/>
          </w:tcPr>
          <w:p>
            <w:pPr>
              <w:spacing w:line="300" w:lineRule="exact"/>
              <w:jc w:val="center"/>
              <w:rPr>
                <w:sz w:val="21"/>
                <w:szCs w:val="21"/>
              </w:rPr>
            </w:pPr>
            <w:r>
              <w:rPr>
                <w:rFonts w:hint="eastAsia"/>
                <w:sz w:val="21"/>
                <w:szCs w:val="21"/>
              </w:rPr>
              <w:t>鸭绿江上游长白县段重点生态区域森林保护与修复建设项目</w:t>
            </w:r>
          </w:p>
        </w:tc>
        <w:tc>
          <w:tcPr>
            <w:tcW w:w="7584" w:type="dxa"/>
            <w:gridSpan w:val="2"/>
            <w:noWrap w:val="0"/>
            <w:vAlign w:val="center"/>
          </w:tcPr>
          <w:p>
            <w:pPr>
              <w:spacing w:line="300" w:lineRule="exact"/>
              <w:rPr>
                <w:sz w:val="21"/>
                <w:szCs w:val="21"/>
              </w:rPr>
            </w:pPr>
            <w:r>
              <w:rPr>
                <w:rFonts w:hint="eastAsia"/>
                <w:sz w:val="21"/>
                <w:szCs w:val="21"/>
              </w:rPr>
              <w:t>封育区调查；人工补植140.6公顷，人工促进2530.09公顷，全部为乔木林地；2670.69公顷实行全封。</w:t>
            </w:r>
          </w:p>
        </w:tc>
        <w:tc>
          <w:tcPr>
            <w:tcW w:w="1422" w:type="dxa"/>
            <w:noWrap w:val="0"/>
            <w:vAlign w:val="center"/>
          </w:tcPr>
          <w:p>
            <w:pPr>
              <w:spacing w:line="300" w:lineRule="exact"/>
              <w:jc w:val="center"/>
              <w:rPr>
                <w:sz w:val="21"/>
                <w:szCs w:val="21"/>
              </w:rPr>
            </w:pPr>
            <w:r>
              <w:rPr>
                <w:sz w:val="21"/>
                <w:szCs w:val="21"/>
              </w:rPr>
              <w:t>840</w:t>
            </w:r>
          </w:p>
        </w:tc>
        <w:tc>
          <w:tcPr>
            <w:tcW w:w="1580" w:type="dxa"/>
            <w:noWrap w:val="0"/>
            <w:vAlign w:val="center"/>
          </w:tcPr>
          <w:p>
            <w:pPr>
              <w:spacing w:line="300" w:lineRule="exact"/>
              <w:rPr>
                <w:sz w:val="21"/>
                <w:szCs w:val="21"/>
              </w:rPr>
            </w:pPr>
            <w:r>
              <w:rPr>
                <w:rFonts w:hint="eastAsia"/>
                <w:sz w:val="21"/>
                <w:szCs w:val="21"/>
              </w:rPr>
              <w:t>长白朝鲜族自治县林业局</w:t>
            </w:r>
          </w:p>
        </w:tc>
        <w:tc>
          <w:tcPr>
            <w:tcW w:w="1422" w:type="dxa"/>
            <w:tcBorders>
              <w:right w:val="single" w:color="auto" w:sz="4" w:space="0"/>
            </w:tcBorders>
            <w:noWrap w:val="0"/>
            <w:vAlign w:val="center"/>
          </w:tcPr>
          <w:p>
            <w:pPr>
              <w:spacing w:line="300" w:lineRule="exact"/>
              <w:jc w:val="center"/>
              <w:rPr>
                <w:sz w:val="21"/>
                <w:szCs w:val="21"/>
              </w:rPr>
            </w:pPr>
            <w:r>
              <w:rPr>
                <w:sz w:val="21"/>
                <w:szCs w:val="21"/>
              </w:rPr>
              <w:t>2024</w:t>
            </w:r>
            <w:r>
              <w:rPr>
                <w:rFonts w:hint="eastAsia"/>
                <w:sz w:val="21"/>
                <w:szCs w:val="21"/>
              </w:rPr>
              <w:t>—</w:t>
            </w:r>
            <w:r>
              <w:rPr>
                <w:sz w:val="21"/>
                <w:szCs w:val="21"/>
              </w:rPr>
              <w:t>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0" w:type="dxa"/>
            <w:tcBorders>
              <w:left w:val="single" w:color="auto" w:sz="4" w:space="0"/>
            </w:tcBorders>
            <w:noWrap w:val="0"/>
            <w:vAlign w:val="center"/>
          </w:tcPr>
          <w:p>
            <w:pPr>
              <w:spacing w:line="300" w:lineRule="exact"/>
              <w:jc w:val="center"/>
              <w:rPr>
                <w:sz w:val="21"/>
                <w:szCs w:val="21"/>
              </w:rPr>
            </w:pPr>
            <w:r>
              <w:rPr>
                <w:sz w:val="21"/>
                <w:szCs w:val="21"/>
              </w:rPr>
              <w:t>3</w:t>
            </w:r>
          </w:p>
        </w:tc>
        <w:tc>
          <w:tcPr>
            <w:tcW w:w="2212" w:type="dxa"/>
            <w:noWrap w:val="0"/>
            <w:vAlign w:val="center"/>
          </w:tcPr>
          <w:p>
            <w:pPr>
              <w:spacing w:line="300" w:lineRule="exact"/>
              <w:jc w:val="center"/>
              <w:rPr>
                <w:sz w:val="21"/>
                <w:szCs w:val="21"/>
              </w:rPr>
            </w:pPr>
            <w:r>
              <w:rPr>
                <w:sz w:val="21"/>
                <w:szCs w:val="21"/>
              </w:rPr>
              <w:t>长白县七道沟、干沟子等河治理工程</w:t>
            </w:r>
          </w:p>
        </w:tc>
        <w:tc>
          <w:tcPr>
            <w:tcW w:w="7584" w:type="dxa"/>
            <w:gridSpan w:val="2"/>
            <w:noWrap w:val="0"/>
            <w:vAlign w:val="center"/>
          </w:tcPr>
          <w:p>
            <w:pPr>
              <w:spacing w:line="300" w:lineRule="exact"/>
              <w:rPr>
                <w:sz w:val="21"/>
                <w:szCs w:val="21"/>
              </w:rPr>
            </w:pPr>
            <w:r>
              <w:rPr>
                <w:rFonts w:hint="eastAsia"/>
                <w:sz w:val="21"/>
                <w:szCs w:val="21"/>
              </w:rPr>
              <w:t>拆除重建和新建挡土墙668m，其中拆除重建356m，新建312m；挡土墙基础维修694m；挡土墙墙面维修1140m，其中，加固344m，勾缝修复796m；挡土墙基础防护2214m；疏浚河道539m；新建、拆除重建和维修加固跌水坝11座，其中新建2座，拆除重建2座，维修加固7座，河道护底1808m</w:t>
            </w:r>
            <w:r>
              <w:rPr>
                <w:rFonts w:hint="eastAsia"/>
                <w:sz w:val="21"/>
                <w:szCs w:val="21"/>
                <w:vertAlign w:val="superscript"/>
              </w:rPr>
              <w:t>2</w:t>
            </w:r>
            <w:r>
              <w:rPr>
                <w:rFonts w:hint="eastAsia"/>
                <w:sz w:val="21"/>
                <w:szCs w:val="21"/>
              </w:rPr>
              <w:t>。</w:t>
            </w:r>
          </w:p>
        </w:tc>
        <w:tc>
          <w:tcPr>
            <w:tcW w:w="1422" w:type="dxa"/>
            <w:noWrap w:val="0"/>
            <w:vAlign w:val="center"/>
          </w:tcPr>
          <w:p>
            <w:pPr>
              <w:spacing w:line="300" w:lineRule="exact"/>
              <w:jc w:val="center"/>
              <w:rPr>
                <w:sz w:val="21"/>
                <w:szCs w:val="21"/>
              </w:rPr>
            </w:pPr>
            <w:r>
              <w:rPr>
                <w:sz w:val="21"/>
                <w:szCs w:val="21"/>
              </w:rPr>
              <w:t>1381</w:t>
            </w:r>
          </w:p>
        </w:tc>
        <w:tc>
          <w:tcPr>
            <w:tcW w:w="1580" w:type="dxa"/>
            <w:noWrap w:val="0"/>
            <w:vAlign w:val="center"/>
          </w:tcPr>
          <w:p>
            <w:pPr>
              <w:spacing w:line="300" w:lineRule="exact"/>
              <w:rPr>
                <w:sz w:val="21"/>
                <w:szCs w:val="21"/>
              </w:rPr>
            </w:pPr>
            <w:r>
              <w:rPr>
                <w:rFonts w:hint="eastAsia"/>
                <w:sz w:val="21"/>
                <w:szCs w:val="21"/>
              </w:rPr>
              <w:t>长白朝鲜族自治县</w:t>
            </w:r>
            <w:r>
              <w:rPr>
                <w:sz w:val="21"/>
                <w:szCs w:val="21"/>
              </w:rPr>
              <w:t>水利局</w:t>
            </w:r>
          </w:p>
        </w:tc>
        <w:tc>
          <w:tcPr>
            <w:tcW w:w="1422" w:type="dxa"/>
            <w:tcBorders>
              <w:right w:val="single" w:color="auto" w:sz="4" w:space="0"/>
            </w:tcBorders>
            <w:noWrap w:val="0"/>
            <w:vAlign w:val="center"/>
          </w:tcPr>
          <w:p>
            <w:pPr>
              <w:spacing w:line="300" w:lineRule="exact"/>
              <w:jc w:val="center"/>
              <w:rPr>
                <w:sz w:val="21"/>
                <w:szCs w:val="21"/>
              </w:rPr>
            </w:pPr>
            <w:r>
              <w:rPr>
                <w:sz w:val="21"/>
                <w:szCs w:val="21"/>
              </w:rPr>
              <w:t>2024</w:t>
            </w:r>
            <w:r>
              <w:rPr>
                <w:rFonts w:hint="eastAsia"/>
                <w:sz w:val="21"/>
                <w:szCs w:val="21"/>
              </w:rPr>
              <w:t>—</w:t>
            </w:r>
            <w:r>
              <w:rPr>
                <w:sz w:val="21"/>
                <w:szCs w:val="21"/>
              </w:rPr>
              <w:t>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90" w:type="dxa"/>
            <w:tcBorders>
              <w:top w:val="single" w:color="auto" w:sz="4" w:space="0"/>
              <w:left w:val="single" w:color="auto" w:sz="4" w:space="0"/>
            </w:tcBorders>
            <w:noWrap w:val="0"/>
            <w:vAlign w:val="center"/>
          </w:tcPr>
          <w:p>
            <w:pPr>
              <w:spacing w:line="300" w:lineRule="exact"/>
              <w:jc w:val="center"/>
              <w:rPr>
                <w:sz w:val="21"/>
                <w:szCs w:val="21"/>
              </w:rPr>
            </w:pPr>
            <w:r>
              <w:rPr>
                <w:rFonts w:hint="eastAsia"/>
                <w:sz w:val="21"/>
                <w:szCs w:val="21"/>
              </w:rPr>
              <w:t>4</w:t>
            </w:r>
          </w:p>
        </w:tc>
        <w:tc>
          <w:tcPr>
            <w:tcW w:w="2212" w:type="dxa"/>
            <w:tcBorders>
              <w:top w:val="single" w:color="auto" w:sz="4" w:space="0"/>
            </w:tcBorders>
            <w:noWrap w:val="0"/>
            <w:vAlign w:val="center"/>
          </w:tcPr>
          <w:p>
            <w:pPr>
              <w:spacing w:line="300" w:lineRule="exact"/>
              <w:jc w:val="center"/>
              <w:rPr>
                <w:sz w:val="21"/>
                <w:szCs w:val="21"/>
              </w:rPr>
            </w:pPr>
            <w:r>
              <w:rPr>
                <w:sz w:val="21"/>
                <w:szCs w:val="21"/>
              </w:rPr>
              <w:t>长白县口岸防控及安全能力提升工程</w:t>
            </w:r>
          </w:p>
        </w:tc>
        <w:tc>
          <w:tcPr>
            <w:tcW w:w="7584" w:type="dxa"/>
            <w:gridSpan w:val="2"/>
            <w:tcBorders>
              <w:top w:val="single" w:color="auto" w:sz="4" w:space="0"/>
            </w:tcBorders>
            <w:noWrap w:val="0"/>
            <w:vAlign w:val="center"/>
          </w:tcPr>
          <w:p>
            <w:pPr>
              <w:spacing w:line="300" w:lineRule="exact"/>
              <w:rPr>
                <w:sz w:val="21"/>
                <w:szCs w:val="21"/>
              </w:rPr>
            </w:pPr>
            <w:r>
              <w:rPr>
                <w:sz w:val="21"/>
                <w:szCs w:val="21"/>
              </w:rPr>
              <w:t>1</w:t>
            </w:r>
            <w:r>
              <w:rPr>
                <w:rFonts w:hint="eastAsia" w:ascii="方正仿宋_GBK"/>
                <w:sz w:val="21"/>
                <w:szCs w:val="21"/>
              </w:rPr>
              <w:t>﹒</w:t>
            </w:r>
            <w:r>
              <w:rPr>
                <w:sz w:val="21"/>
                <w:szCs w:val="21"/>
              </w:rPr>
              <w:t>重点建设防控人货分离分段运输场所、防疫流调查验功能用房、边检隔离消杀室，改造对联检楼、边检执勤用房。2</w:t>
            </w:r>
            <w:r>
              <w:rPr>
                <w:rFonts w:hint="eastAsia" w:ascii="方正仿宋_GBK"/>
                <w:sz w:val="21"/>
                <w:szCs w:val="21"/>
              </w:rPr>
              <w:t>﹒</w:t>
            </w:r>
            <w:r>
              <w:rPr>
                <w:sz w:val="21"/>
                <w:szCs w:val="21"/>
              </w:rPr>
              <w:t>建设口岸人员智能电子验放系统、疫情防控更衣室、弃物储存区，场区硬化以及软件系统。</w:t>
            </w:r>
          </w:p>
        </w:tc>
        <w:tc>
          <w:tcPr>
            <w:tcW w:w="1422" w:type="dxa"/>
            <w:tcBorders>
              <w:top w:val="single" w:color="auto" w:sz="4" w:space="0"/>
            </w:tcBorders>
            <w:noWrap w:val="0"/>
            <w:vAlign w:val="center"/>
          </w:tcPr>
          <w:p>
            <w:pPr>
              <w:spacing w:line="300" w:lineRule="exact"/>
              <w:jc w:val="center"/>
              <w:rPr>
                <w:sz w:val="21"/>
                <w:szCs w:val="21"/>
              </w:rPr>
            </w:pPr>
            <w:r>
              <w:rPr>
                <w:sz w:val="21"/>
                <w:szCs w:val="21"/>
              </w:rPr>
              <w:t>1413</w:t>
            </w:r>
          </w:p>
        </w:tc>
        <w:tc>
          <w:tcPr>
            <w:tcW w:w="1580" w:type="dxa"/>
            <w:tcBorders>
              <w:top w:val="single" w:color="auto" w:sz="4" w:space="0"/>
            </w:tcBorders>
            <w:noWrap w:val="0"/>
            <w:vAlign w:val="center"/>
          </w:tcPr>
          <w:p>
            <w:pPr>
              <w:spacing w:line="300" w:lineRule="exact"/>
              <w:rPr>
                <w:rFonts w:hint="eastAsia"/>
                <w:sz w:val="21"/>
                <w:szCs w:val="21"/>
              </w:rPr>
            </w:pPr>
            <w:r>
              <w:rPr>
                <w:rFonts w:hint="eastAsia"/>
                <w:sz w:val="21"/>
                <w:szCs w:val="21"/>
              </w:rPr>
              <w:t>长白朝鲜族自治县商务局</w:t>
            </w:r>
          </w:p>
        </w:tc>
        <w:tc>
          <w:tcPr>
            <w:tcW w:w="1422" w:type="dxa"/>
            <w:tcBorders>
              <w:top w:val="single" w:color="auto" w:sz="4" w:space="0"/>
              <w:right w:val="single" w:color="auto" w:sz="4" w:space="0"/>
            </w:tcBorders>
            <w:noWrap w:val="0"/>
            <w:vAlign w:val="center"/>
          </w:tcPr>
          <w:p>
            <w:pPr>
              <w:spacing w:line="300" w:lineRule="exact"/>
              <w:jc w:val="center"/>
              <w:rPr>
                <w:rFonts w:hint="eastAsia"/>
                <w:sz w:val="21"/>
                <w:szCs w:val="21"/>
              </w:rPr>
            </w:pPr>
            <w:r>
              <w:rPr>
                <w:rFonts w:hint="eastAsia"/>
                <w:sz w:val="21"/>
                <w:szCs w:val="21"/>
              </w:rPr>
              <w:t>2024—</w:t>
            </w:r>
            <w:r>
              <w:rPr>
                <w:sz w:val="21"/>
                <w:szCs w:val="21"/>
              </w:rPr>
              <w:t>20</w:t>
            </w:r>
            <w:r>
              <w:rPr>
                <w:rFonts w:hint="eastAsia"/>
                <w:sz w:val="21"/>
                <w:szCs w:val="21"/>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90" w:type="dxa"/>
            <w:tcBorders>
              <w:left w:val="single" w:color="auto" w:sz="4" w:space="0"/>
            </w:tcBorders>
            <w:noWrap w:val="0"/>
            <w:vAlign w:val="center"/>
          </w:tcPr>
          <w:p>
            <w:pPr>
              <w:spacing w:line="300" w:lineRule="exact"/>
              <w:jc w:val="center"/>
              <w:rPr>
                <w:sz w:val="21"/>
                <w:szCs w:val="21"/>
              </w:rPr>
            </w:pPr>
            <w:r>
              <w:rPr>
                <w:rFonts w:hint="eastAsia"/>
                <w:sz w:val="21"/>
                <w:szCs w:val="21"/>
              </w:rPr>
              <w:t>5</w:t>
            </w:r>
          </w:p>
        </w:tc>
        <w:tc>
          <w:tcPr>
            <w:tcW w:w="2212" w:type="dxa"/>
            <w:noWrap w:val="0"/>
            <w:vAlign w:val="center"/>
          </w:tcPr>
          <w:p>
            <w:pPr>
              <w:spacing w:line="300" w:lineRule="exact"/>
              <w:jc w:val="center"/>
              <w:rPr>
                <w:sz w:val="21"/>
                <w:szCs w:val="21"/>
              </w:rPr>
            </w:pPr>
            <w:r>
              <w:rPr>
                <w:sz w:val="21"/>
                <w:szCs w:val="21"/>
              </w:rPr>
              <w:t>长白县</w:t>
            </w:r>
            <w:r>
              <w:rPr>
                <w:rFonts w:hint="eastAsia"/>
                <w:sz w:val="21"/>
                <w:szCs w:val="21"/>
              </w:rPr>
              <w:t>鸭绿江上游新房子段岸线生态功能提升工程</w:t>
            </w:r>
          </w:p>
        </w:tc>
        <w:tc>
          <w:tcPr>
            <w:tcW w:w="7584" w:type="dxa"/>
            <w:gridSpan w:val="2"/>
            <w:noWrap w:val="0"/>
            <w:vAlign w:val="center"/>
          </w:tcPr>
          <w:p>
            <w:pPr>
              <w:spacing w:line="300" w:lineRule="exact"/>
              <w:rPr>
                <w:sz w:val="21"/>
                <w:szCs w:val="21"/>
              </w:rPr>
            </w:pPr>
            <w:r>
              <w:rPr>
                <w:rFonts w:hint="eastAsia"/>
                <w:sz w:val="21"/>
                <w:szCs w:val="21"/>
              </w:rPr>
              <w:t>封山育林：面积833.85公顷，建设碑牌、标志牌、临时标牌、围栏、补植补造、施肥、幼林抚育。人工林改造培育：面积575.08公顷，抚育采伐面积575.08公顷，修枝割灌面积575.08公顷，进行补植补造、施肥、幼林抚育、标志牌等建设。</w:t>
            </w:r>
          </w:p>
        </w:tc>
        <w:tc>
          <w:tcPr>
            <w:tcW w:w="1422" w:type="dxa"/>
            <w:noWrap w:val="0"/>
            <w:vAlign w:val="center"/>
          </w:tcPr>
          <w:p>
            <w:pPr>
              <w:spacing w:line="300" w:lineRule="exact"/>
              <w:jc w:val="center"/>
              <w:rPr>
                <w:sz w:val="21"/>
                <w:szCs w:val="21"/>
              </w:rPr>
            </w:pPr>
            <w:r>
              <w:rPr>
                <w:sz w:val="21"/>
                <w:szCs w:val="21"/>
              </w:rPr>
              <w:t>1176</w:t>
            </w:r>
          </w:p>
        </w:tc>
        <w:tc>
          <w:tcPr>
            <w:tcW w:w="1580" w:type="dxa"/>
            <w:noWrap w:val="0"/>
            <w:vAlign w:val="center"/>
          </w:tcPr>
          <w:p>
            <w:pPr>
              <w:spacing w:line="300" w:lineRule="exact"/>
              <w:rPr>
                <w:sz w:val="21"/>
                <w:szCs w:val="21"/>
              </w:rPr>
            </w:pPr>
            <w:r>
              <w:rPr>
                <w:rFonts w:hint="eastAsia"/>
                <w:sz w:val="21"/>
                <w:szCs w:val="21"/>
              </w:rPr>
              <w:t>长白朝鲜族自治县森林经营局</w:t>
            </w:r>
          </w:p>
        </w:tc>
        <w:tc>
          <w:tcPr>
            <w:tcW w:w="1422" w:type="dxa"/>
            <w:tcBorders>
              <w:right w:val="single" w:color="auto" w:sz="4" w:space="0"/>
            </w:tcBorders>
            <w:noWrap w:val="0"/>
            <w:vAlign w:val="center"/>
          </w:tcPr>
          <w:p>
            <w:pPr>
              <w:spacing w:line="300" w:lineRule="exact"/>
              <w:jc w:val="center"/>
              <w:rPr>
                <w:rFonts w:hint="eastAsia"/>
                <w:sz w:val="21"/>
                <w:szCs w:val="21"/>
              </w:rPr>
            </w:pPr>
            <w:r>
              <w:rPr>
                <w:sz w:val="21"/>
                <w:szCs w:val="21"/>
              </w:rPr>
              <w:t>2024</w:t>
            </w:r>
            <w:r>
              <w:rPr>
                <w:rFonts w:hint="eastAsia"/>
                <w:sz w:val="21"/>
                <w:szCs w:val="21"/>
              </w:rPr>
              <w:t>—2025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010" w:type="dxa"/>
            <w:gridSpan w:val="7"/>
            <w:tcBorders>
              <w:left w:val="single" w:color="auto" w:sz="4" w:space="0"/>
              <w:right w:val="single" w:color="auto" w:sz="4" w:space="0"/>
            </w:tcBorders>
            <w:noWrap w:val="0"/>
            <w:vAlign w:val="center"/>
          </w:tcPr>
          <w:p>
            <w:pPr>
              <w:spacing w:line="300" w:lineRule="exact"/>
              <w:jc w:val="center"/>
              <w:rPr>
                <w:sz w:val="21"/>
                <w:szCs w:val="21"/>
              </w:rPr>
            </w:pPr>
            <w:r>
              <w:rPr>
                <w:rFonts w:hint="eastAsia" w:ascii="方正黑体_GBK" w:eastAsia="方正黑体_GBK"/>
                <w:sz w:val="24"/>
                <w:szCs w:val="24"/>
              </w:rPr>
              <w:t>一、生态安全体系重点工程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0" w:type="dxa"/>
            <w:tcBorders>
              <w:lef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序号</w:t>
            </w:r>
          </w:p>
        </w:tc>
        <w:tc>
          <w:tcPr>
            <w:tcW w:w="2370" w:type="dxa"/>
            <w:gridSpan w:val="2"/>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项目名称</w:t>
            </w:r>
          </w:p>
        </w:tc>
        <w:tc>
          <w:tcPr>
            <w:tcW w:w="7426" w:type="dxa"/>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主要建设内容</w:t>
            </w:r>
          </w:p>
        </w:tc>
        <w:tc>
          <w:tcPr>
            <w:tcW w:w="1422" w:type="dxa"/>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投资（万元）</w:t>
            </w:r>
          </w:p>
        </w:tc>
        <w:tc>
          <w:tcPr>
            <w:tcW w:w="1580" w:type="dxa"/>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牵头单位</w:t>
            </w:r>
          </w:p>
        </w:tc>
        <w:tc>
          <w:tcPr>
            <w:tcW w:w="1422" w:type="dxa"/>
            <w:tcBorders>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建设年限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90" w:type="dxa"/>
            <w:tcBorders>
              <w:left w:val="single" w:color="auto" w:sz="4" w:space="0"/>
            </w:tcBorders>
            <w:noWrap w:val="0"/>
            <w:vAlign w:val="center"/>
          </w:tcPr>
          <w:p>
            <w:pPr>
              <w:spacing w:line="300" w:lineRule="exact"/>
              <w:jc w:val="center"/>
              <w:rPr>
                <w:rFonts w:hint="eastAsia"/>
                <w:sz w:val="21"/>
                <w:szCs w:val="21"/>
              </w:rPr>
            </w:pPr>
            <w:r>
              <w:rPr>
                <w:rFonts w:hint="eastAsia"/>
                <w:sz w:val="21"/>
                <w:szCs w:val="21"/>
              </w:rPr>
              <w:t>6</w:t>
            </w:r>
          </w:p>
        </w:tc>
        <w:tc>
          <w:tcPr>
            <w:tcW w:w="2370" w:type="dxa"/>
            <w:gridSpan w:val="2"/>
            <w:noWrap w:val="0"/>
            <w:vAlign w:val="center"/>
          </w:tcPr>
          <w:p>
            <w:pPr>
              <w:spacing w:line="300" w:lineRule="exact"/>
              <w:jc w:val="center"/>
              <w:rPr>
                <w:sz w:val="21"/>
                <w:szCs w:val="21"/>
              </w:rPr>
            </w:pPr>
            <w:r>
              <w:rPr>
                <w:rFonts w:hint="eastAsia"/>
                <w:sz w:val="21"/>
                <w:szCs w:val="21"/>
              </w:rPr>
              <w:t>鸭绿江源流域长白县段岸线受损弃置地治理及生态修复项目</w:t>
            </w:r>
          </w:p>
        </w:tc>
        <w:tc>
          <w:tcPr>
            <w:tcW w:w="7426" w:type="dxa"/>
            <w:noWrap w:val="0"/>
            <w:vAlign w:val="center"/>
          </w:tcPr>
          <w:p>
            <w:pPr>
              <w:spacing w:line="300" w:lineRule="exact"/>
              <w:rPr>
                <w:sz w:val="21"/>
                <w:szCs w:val="21"/>
              </w:rPr>
            </w:pPr>
            <w:r>
              <w:rPr>
                <w:rFonts w:hint="eastAsia"/>
                <w:sz w:val="21"/>
                <w:szCs w:val="21"/>
              </w:rPr>
              <w:t>15个历史遗留矿山的岩体清理工程；护坡工程等生态治理。</w:t>
            </w:r>
          </w:p>
        </w:tc>
        <w:tc>
          <w:tcPr>
            <w:tcW w:w="1422" w:type="dxa"/>
            <w:noWrap w:val="0"/>
            <w:vAlign w:val="center"/>
          </w:tcPr>
          <w:p>
            <w:pPr>
              <w:spacing w:line="300" w:lineRule="exact"/>
              <w:jc w:val="center"/>
              <w:rPr>
                <w:sz w:val="21"/>
                <w:szCs w:val="21"/>
              </w:rPr>
            </w:pPr>
            <w:r>
              <w:rPr>
                <w:rFonts w:hint="eastAsia"/>
                <w:sz w:val="21"/>
                <w:szCs w:val="21"/>
              </w:rPr>
              <w:t>7375.53</w:t>
            </w:r>
          </w:p>
        </w:tc>
        <w:tc>
          <w:tcPr>
            <w:tcW w:w="1580" w:type="dxa"/>
            <w:noWrap w:val="0"/>
            <w:vAlign w:val="center"/>
          </w:tcPr>
          <w:p>
            <w:pPr>
              <w:spacing w:line="300" w:lineRule="exact"/>
              <w:rPr>
                <w:rFonts w:hint="eastAsia"/>
                <w:sz w:val="21"/>
                <w:szCs w:val="21"/>
              </w:rPr>
            </w:pPr>
            <w:r>
              <w:rPr>
                <w:rFonts w:hint="eastAsia"/>
                <w:sz w:val="21"/>
                <w:szCs w:val="21"/>
              </w:rPr>
              <w:t>长白朝鲜族自治县自然资源局</w:t>
            </w:r>
          </w:p>
        </w:tc>
        <w:tc>
          <w:tcPr>
            <w:tcW w:w="1422" w:type="dxa"/>
            <w:tcBorders>
              <w:right w:val="single" w:color="auto" w:sz="4" w:space="0"/>
            </w:tcBorders>
            <w:noWrap w:val="0"/>
            <w:vAlign w:val="center"/>
          </w:tcPr>
          <w:p>
            <w:pPr>
              <w:spacing w:line="300" w:lineRule="exact"/>
              <w:jc w:val="center"/>
              <w:rPr>
                <w:rFonts w:hint="eastAsia"/>
                <w:sz w:val="21"/>
                <w:szCs w:val="21"/>
              </w:rPr>
            </w:pPr>
            <w:r>
              <w:rPr>
                <w:sz w:val="21"/>
                <w:szCs w:val="21"/>
              </w:rPr>
              <w:t>2024</w:t>
            </w:r>
            <w:r>
              <w:rPr>
                <w:rFonts w:hint="eastAsia"/>
                <w:sz w:val="21"/>
                <w:szCs w:val="21"/>
              </w:rPr>
              <w:t>—2025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90" w:type="dxa"/>
            <w:tcBorders>
              <w:left w:val="single" w:color="auto" w:sz="4" w:space="0"/>
            </w:tcBorders>
            <w:noWrap w:val="0"/>
            <w:vAlign w:val="center"/>
          </w:tcPr>
          <w:p>
            <w:pPr>
              <w:spacing w:line="300" w:lineRule="exact"/>
              <w:jc w:val="center"/>
              <w:rPr>
                <w:rFonts w:hint="eastAsia"/>
                <w:color w:val="000000"/>
                <w:sz w:val="21"/>
                <w:szCs w:val="21"/>
              </w:rPr>
            </w:pPr>
            <w:r>
              <w:rPr>
                <w:rFonts w:hint="eastAsia"/>
                <w:color w:val="000000"/>
                <w:sz w:val="21"/>
                <w:szCs w:val="21"/>
              </w:rPr>
              <w:t>7</w:t>
            </w:r>
          </w:p>
        </w:tc>
        <w:tc>
          <w:tcPr>
            <w:tcW w:w="2370" w:type="dxa"/>
            <w:gridSpan w:val="2"/>
            <w:noWrap w:val="0"/>
            <w:vAlign w:val="center"/>
          </w:tcPr>
          <w:p>
            <w:pPr>
              <w:spacing w:line="300" w:lineRule="exact"/>
              <w:jc w:val="center"/>
              <w:rPr>
                <w:rFonts w:hint="eastAsia"/>
                <w:color w:val="000000"/>
                <w:sz w:val="21"/>
                <w:szCs w:val="21"/>
              </w:rPr>
            </w:pPr>
            <w:r>
              <w:rPr>
                <w:color w:val="000000"/>
                <w:sz w:val="21"/>
                <w:szCs w:val="21"/>
              </w:rPr>
              <w:t>长白县</w:t>
            </w:r>
            <w:r>
              <w:rPr>
                <w:rFonts w:hint="eastAsia"/>
                <w:color w:val="000000"/>
                <w:sz w:val="21"/>
                <w:szCs w:val="21"/>
              </w:rPr>
              <w:t>鸭绿江流域中上游十九道沟小流域治理及生态修复项目</w:t>
            </w:r>
          </w:p>
        </w:tc>
        <w:tc>
          <w:tcPr>
            <w:tcW w:w="7426" w:type="dxa"/>
            <w:noWrap w:val="0"/>
            <w:vAlign w:val="center"/>
          </w:tcPr>
          <w:p>
            <w:pPr>
              <w:spacing w:line="300" w:lineRule="exact"/>
              <w:rPr>
                <w:rFonts w:hint="eastAsia"/>
                <w:color w:val="000000"/>
                <w:sz w:val="21"/>
                <w:szCs w:val="21"/>
              </w:rPr>
            </w:pPr>
            <w:r>
              <w:rPr>
                <w:rFonts w:hint="eastAsia"/>
                <w:color w:val="000000"/>
                <w:sz w:val="21"/>
                <w:szCs w:val="21"/>
              </w:rPr>
              <w:t>修复境内鸭绿江流域的七道沟、八道沟、十二道沟、十三道沟、十四道沟、十六道沟、十八道沟、干沟子河、梨树沟、十九道沟、二十三道沟，共计11条鸭绿江支流。</w:t>
            </w:r>
          </w:p>
        </w:tc>
        <w:tc>
          <w:tcPr>
            <w:tcW w:w="1422" w:type="dxa"/>
            <w:noWrap w:val="0"/>
            <w:vAlign w:val="center"/>
          </w:tcPr>
          <w:p>
            <w:pPr>
              <w:spacing w:line="300" w:lineRule="exact"/>
              <w:jc w:val="center"/>
              <w:rPr>
                <w:color w:val="000000"/>
                <w:sz w:val="21"/>
                <w:szCs w:val="21"/>
              </w:rPr>
            </w:pPr>
            <w:r>
              <w:rPr>
                <w:color w:val="000000"/>
                <w:sz w:val="21"/>
                <w:szCs w:val="21"/>
              </w:rPr>
              <w:t>9800</w:t>
            </w:r>
          </w:p>
        </w:tc>
        <w:tc>
          <w:tcPr>
            <w:tcW w:w="1580" w:type="dxa"/>
            <w:noWrap w:val="0"/>
            <w:vAlign w:val="center"/>
          </w:tcPr>
          <w:p>
            <w:pPr>
              <w:spacing w:line="300" w:lineRule="exact"/>
              <w:rPr>
                <w:rFonts w:hint="eastAsia"/>
                <w:color w:val="000000"/>
                <w:sz w:val="21"/>
                <w:szCs w:val="21"/>
              </w:rPr>
            </w:pPr>
            <w:r>
              <w:rPr>
                <w:rFonts w:hint="eastAsia"/>
                <w:color w:val="000000"/>
                <w:sz w:val="21"/>
                <w:szCs w:val="21"/>
              </w:rPr>
              <w:t>长白朝鲜族自治县水利局</w:t>
            </w:r>
          </w:p>
        </w:tc>
        <w:tc>
          <w:tcPr>
            <w:tcW w:w="1422" w:type="dxa"/>
            <w:tcBorders>
              <w:right w:val="single" w:color="auto" w:sz="4" w:space="0"/>
            </w:tcBorders>
            <w:noWrap w:val="0"/>
            <w:vAlign w:val="center"/>
          </w:tcPr>
          <w:p>
            <w:pPr>
              <w:spacing w:line="300" w:lineRule="exact"/>
              <w:jc w:val="center"/>
              <w:rPr>
                <w:color w:val="000000"/>
                <w:sz w:val="21"/>
                <w:szCs w:val="21"/>
              </w:rPr>
            </w:pPr>
            <w:r>
              <w:rPr>
                <w:rFonts w:hint="eastAsia"/>
                <w:color w:val="000000"/>
                <w:sz w:val="21"/>
                <w:szCs w:val="21"/>
              </w:rPr>
              <w:t>2024—2026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90" w:type="dxa"/>
            <w:tcBorders>
              <w:left w:val="single" w:color="auto" w:sz="4" w:space="0"/>
            </w:tcBorders>
            <w:noWrap w:val="0"/>
            <w:vAlign w:val="center"/>
          </w:tcPr>
          <w:p>
            <w:pPr>
              <w:spacing w:line="300" w:lineRule="exact"/>
              <w:jc w:val="center"/>
              <w:rPr>
                <w:sz w:val="21"/>
                <w:szCs w:val="21"/>
              </w:rPr>
            </w:pPr>
            <w:r>
              <w:rPr>
                <w:rFonts w:hint="eastAsia"/>
                <w:sz w:val="21"/>
                <w:szCs w:val="21"/>
              </w:rPr>
              <w:t>8</w:t>
            </w:r>
          </w:p>
        </w:tc>
        <w:tc>
          <w:tcPr>
            <w:tcW w:w="2370" w:type="dxa"/>
            <w:gridSpan w:val="2"/>
            <w:noWrap w:val="0"/>
            <w:vAlign w:val="center"/>
          </w:tcPr>
          <w:p>
            <w:pPr>
              <w:spacing w:line="300" w:lineRule="exact"/>
              <w:jc w:val="center"/>
              <w:rPr>
                <w:sz w:val="21"/>
                <w:szCs w:val="21"/>
              </w:rPr>
            </w:pPr>
            <w:r>
              <w:rPr>
                <w:rFonts w:hint="eastAsia"/>
                <w:sz w:val="21"/>
                <w:szCs w:val="21"/>
              </w:rPr>
              <w:t>长白县马鹿沟镇二十道沟村生活污水治理及给水管网改造建设项目</w:t>
            </w:r>
          </w:p>
        </w:tc>
        <w:tc>
          <w:tcPr>
            <w:tcW w:w="7426" w:type="dxa"/>
            <w:noWrap w:val="0"/>
            <w:vAlign w:val="center"/>
          </w:tcPr>
          <w:p>
            <w:pPr>
              <w:spacing w:line="300" w:lineRule="exact"/>
              <w:rPr>
                <w:sz w:val="21"/>
                <w:szCs w:val="21"/>
              </w:rPr>
            </w:pPr>
            <w:r>
              <w:rPr>
                <w:rFonts w:hint="eastAsia"/>
                <w:sz w:val="21"/>
                <w:szCs w:val="21"/>
              </w:rPr>
              <w:t>铺设双壁波纹污水管、污水检查井52座、化粪池；铺设雨水管、雨水检查井、给水管、给水检查井；拆除并恢复沥青路面；新建玻璃钢污水转运池6座。</w:t>
            </w:r>
          </w:p>
        </w:tc>
        <w:tc>
          <w:tcPr>
            <w:tcW w:w="1422" w:type="dxa"/>
            <w:noWrap w:val="0"/>
            <w:vAlign w:val="center"/>
          </w:tcPr>
          <w:p>
            <w:pPr>
              <w:spacing w:line="300" w:lineRule="exact"/>
              <w:jc w:val="center"/>
              <w:rPr>
                <w:sz w:val="21"/>
                <w:szCs w:val="21"/>
              </w:rPr>
            </w:pPr>
            <w:r>
              <w:rPr>
                <w:sz w:val="21"/>
                <w:szCs w:val="21"/>
              </w:rPr>
              <w:t>631</w:t>
            </w:r>
          </w:p>
        </w:tc>
        <w:tc>
          <w:tcPr>
            <w:tcW w:w="1580" w:type="dxa"/>
            <w:noWrap w:val="0"/>
            <w:vAlign w:val="center"/>
          </w:tcPr>
          <w:p>
            <w:pPr>
              <w:spacing w:line="300" w:lineRule="exact"/>
              <w:rPr>
                <w:rFonts w:hint="eastAsia"/>
                <w:sz w:val="21"/>
                <w:szCs w:val="21"/>
              </w:rPr>
            </w:pPr>
            <w:r>
              <w:rPr>
                <w:rFonts w:hint="eastAsia"/>
                <w:sz w:val="21"/>
                <w:szCs w:val="21"/>
              </w:rPr>
              <w:t>马鹿沟镇人民政府</w:t>
            </w:r>
          </w:p>
        </w:tc>
        <w:tc>
          <w:tcPr>
            <w:tcW w:w="1422" w:type="dxa"/>
            <w:tcBorders>
              <w:right w:val="single" w:color="auto" w:sz="4" w:space="0"/>
            </w:tcBorders>
            <w:noWrap w:val="0"/>
            <w:vAlign w:val="center"/>
          </w:tcPr>
          <w:p>
            <w:pPr>
              <w:spacing w:line="300" w:lineRule="exact"/>
              <w:jc w:val="center"/>
              <w:rPr>
                <w:rFonts w:hint="eastAsia"/>
                <w:sz w:val="21"/>
                <w:szCs w:val="21"/>
              </w:rPr>
            </w:pPr>
            <w:r>
              <w:rPr>
                <w:sz w:val="21"/>
                <w:szCs w:val="21"/>
              </w:rPr>
              <w:t>2024</w:t>
            </w:r>
            <w:r>
              <w:rPr>
                <w:rFonts w:hint="eastAsia"/>
                <w:sz w:val="21"/>
                <w:szCs w:val="21"/>
              </w:rPr>
              <w:t>—2025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0" w:type="dxa"/>
            <w:tcBorders>
              <w:left w:val="single" w:color="auto" w:sz="4" w:space="0"/>
            </w:tcBorders>
            <w:noWrap w:val="0"/>
            <w:vAlign w:val="center"/>
          </w:tcPr>
          <w:p>
            <w:pPr>
              <w:spacing w:line="300" w:lineRule="exact"/>
              <w:jc w:val="center"/>
              <w:rPr>
                <w:rFonts w:hint="eastAsia"/>
                <w:sz w:val="21"/>
                <w:szCs w:val="21"/>
              </w:rPr>
            </w:pPr>
            <w:r>
              <w:rPr>
                <w:rFonts w:hint="eastAsia"/>
                <w:sz w:val="21"/>
                <w:szCs w:val="21"/>
              </w:rPr>
              <w:t>9</w:t>
            </w:r>
          </w:p>
        </w:tc>
        <w:tc>
          <w:tcPr>
            <w:tcW w:w="2370" w:type="dxa"/>
            <w:gridSpan w:val="2"/>
            <w:noWrap w:val="0"/>
            <w:vAlign w:val="center"/>
          </w:tcPr>
          <w:p>
            <w:pPr>
              <w:spacing w:line="300" w:lineRule="exact"/>
              <w:jc w:val="center"/>
              <w:rPr>
                <w:rFonts w:hint="eastAsia"/>
                <w:sz w:val="21"/>
                <w:szCs w:val="21"/>
              </w:rPr>
            </w:pPr>
            <w:r>
              <w:rPr>
                <w:rFonts w:hint="eastAsia"/>
                <w:sz w:val="21"/>
                <w:szCs w:val="21"/>
              </w:rPr>
              <w:t>吉林省白山市森林火灾高危区（高风险区）综合治理建设项目</w:t>
            </w:r>
          </w:p>
        </w:tc>
        <w:tc>
          <w:tcPr>
            <w:tcW w:w="7426" w:type="dxa"/>
            <w:noWrap w:val="0"/>
            <w:vAlign w:val="center"/>
          </w:tcPr>
          <w:p>
            <w:pPr>
              <w:spacing w:line="300" w:lineRule="exact"/>
              <w:rPr>
                <w:rFonts w:hint="eastAsia"/>
                <w:sz w:val="21"/>
                <w:szCs w:val="21"/>
              </w:rPr>
            </w:pPr>
            <w:r>
              <w:rPr>
                <w:rFonts w:hint="eastAsia"/>
                <w:sz w:val="21"/>
                <w:szCs w:val="21"/>
              </w:rPr>
              <w:t>新建森林消防队营房750m</w:t>
            </w:r>
            <w:r>
              <w:rPr>
                <w:rFonts w:hint="eastAsia"/>
                <w:sz w:val="21"/>
                <w:szCs w:val="21"/>
                <w:vertAlign w:val="superscript"/>
              </w:rPr>
              <w:t>2</w:t>
            </w:r>
            <w:r>
              <w:rPr>
                <w:rFonts w:hint="eastAsia"/>
                <w:sz w:val="21"/>
                <w:szCs w:val="21"/>
              </w:rPr>
              <w:t>、营区场地硬化336.2m</w:t>
            </w:r>
            <w:r>
              <w:rPr>
                <w:rFonts w:hint="eastAsia"/>
                <w:sz w:val="21"/>
                <w:szCs w:val="21"/>
                <w:vertAlign w:val="superscript"/>
              </w:rPr>
              <w:t>2</w:t>
            </w:r>
            <w:r>
              <w:rPr>
                <w:rFonts w:hint="eastAsia"/>
                <w:sz w:val="21"/>
                <w:szCs w:val="21"/>
              </w:rPr>
              <w:t>；采购灭火机具63台、套、个、支；安全防护装备75套；野外生存装备83套、顶、个、条；防火车辆3台；无人机1套。</w:t>
            </w:r>
          </w:p>
        </w:tc>
        <w:tc>
          <w:tcPr>
            <w:tcW w:w="1422" w:type="dxa"/>
            <w:noWrap w:val="0"/>
            <w:vAlign w:val="center"/>
          </w:tcPr>
          <w:p>
            <w:pPr>
              <w:spacing w:line="300" w:lineRule="exact"/>
              <w:jc w:val="center"/>
              <w:rPr>
                <w:sz w:val="21"/>
                <w:szCs w:val="21"/>
              </w:rPr>
            </w:pPr>
            <w:r>
              <w:rPr>
                <w:rFonts w:hint="eastAsia"/>
                <w:sz w:val="21"/>
                <w:szCs w:val="21"/>
              </w:rPr>
              <w:t>620</w:t>
            </w:r>
          </w:p>
        </w:tc>
        <w:tc>
          <w:tcPr>
            <w:tcW w:w="1580" w:type="dxa"/>
            <w:noWrap w:val="0"/>
            <w:vAlign w:val="center"/>
          </w:tcPr>
          <w:p>
            <w:pPr>
              <w:spacing w:line="300" w:lineRule="exact"/>
              <w:rPr>
                <w:rFonts w:hint="eastAsia"/>
                <w:sz w:val="21"/>
                <w:szCs w:val="21"/>
              </w:rPr>
            </w:pPr>
            <w:r>
              <w:rPr>
                <w:rFonts w:hint="eastAsia"/>
                <w:sz w:val="21"/>
                <w:szCs w:val="21"/>
              </w:rPr>
              <w:t>长白朝鲜族自治县林业局</w:t>
            </w:r>
          </w:p>
        </w:tc>
        <w:tc>
          <w:tcPr>
            <w:tcW w:w="1422" w:type="dxa"/>
            <w:tcBorders>
              <w:right w:val="single" w:color="auto" w:sz="4" w:space="0"/>
            </w:tcBorders>
            <w:noWrap w:val="0"/>
            <w:vAlign w:val="center"/>
          </w:tcPr>
          <w:p>
            <w:pPr>
              <w:spacing w:line="300" w:lineRule="exact"/>
              <w:jc w:val="center"/>
              <w:rPr>
                <w:sz w:val="21"/>
                <w:szCs w:val="21"/>
              </w:rPr>
            </w:pPr>
            <w:r>
              <w:rPr>
                <w:rFonts w:hint="eastAsia"/>
                <w:sz w:val="21"/>
                <w:szCs w:val="21"/>
              </w:rPr>
              <w:t>2024—</w:t>
            </w:r>
            <w:r>
              <w:rPr>
                <w:sz w:val="21"/>
                <w:szCs w:val="21"/>
              </w:rPr>
              <w:t>20</w:t>
            </w:r>
            <w:r>
              <w:rPr>
                <w:rFonts w:hint="eastAsia"/>
                <w:sz w:val="21"/>
                <w:szCs w:val="21"/>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0" w:type="dxa"/>
            <w:tcBorders>
              <w:left w:val="single" w:color="auto" w:sz="4" w:space="0"/>
            </w:tcBorders>
            <w:noWrap w:val="0"/>
            <w:vAlign w:val="center"/>
          </w:tcPr>
          <w:p>
            <w:pPr>
              <w:spacing w:line="300" w:lineRule="exact"/>
              <w:jc w:val="center"/>
              <w:rPr>
                <w:sz w:val="21"/>
                <w:szCs w:val="21"/>
              </w:rPr>
            </w:pPr>
            <w:r>
              <w:rPr>
                <w:rFonts w:hint="eastAsia"/>
                <w:sz w:val="21"/>
                <w:szCs w:val="21"/>
              </w:rPr>
              <w:t>10</w:t>
            </w:r>
          </w:p>
        </w:tc>
        <w:tc>
          <w:tcPr>
            <w:tcW w:w="2370" w:type="dxa"/>
            <w:gridSpan w:val="2"/>
            <w:noWrap w:val="0"/>
            <w:vAlign w:val="center"/>
          </w:tcPr>
          <w:p>
            <w:pPr>
              <w:spacing w:line="300" w:lineRule="exact"/>
              <w:jc w:val="center"/>
              <w:rPr>
                <w:rFonts w:hint="eastAsia" w:ascii="方正仿宋_GBK"/>
                <w:sz w:val="21"/>
                <w:szCs w:val="21"/>
              </w:rPr>
            </w:pPr>
            <w:r>
              <w:rPr>
                <w:rFonts w:hint="eastAsia" w:ascii="方正仿宋_GBK"/>
                <w:sz w:val="21"/>
                <w:szCs w:val="21"/>
              </w:rPr>
              <w:t>“鸭绿江乡村振兴示范带”农村生活污水治理项目（一期）</w:t>
            </w:r>
          </w:p>
        </w:tc>
        <w:tc>
          <w:tcPr>
            <w:tcW w:w="7426" w:type="dxa"/>
            <w:noWrap w:val="0"/>
            <w:vAlign w:val="center"/>
          </w:tcPr>
          <w:p>
            <w:pPr>
              <w:spacing w:line="300" w:lineRule="exact"/>
              <w:rPr>
                <w:rFonts w:hint="eastAsia"/>
                <w:sz w:val="21"/>
                <w:szCs w:val="21"/>
              </w:rPr>
            </w:pPr>
            <w:r>
              <w:rPr>
                <w:sz w:val="21"/>
                <w:szCs w:val="21"/>
              </w:rPr>
              <w:t>本项目的建设内容分为管网工程和处理站工程两部分，涉及6个镇、乡的28个行政村</w:t>
            </w:r>
            <w:r>
              <w:rPr>
                <w:rFonts w:hint="eastAsia"/>
                <w:sz w:val="21"/>
                <w:szCs w:val="21"/>
              </w:rPr>
              <w:t>，</w:t>
            </w:r>
            <w:r>
              <w:rPr>
                <w:sz w:val="21"/>
                <w:szCs w:val="21"/>
              </w:rPr>
              <w:t>具体建设内容如下。</w:t>
            </w:r>
            <w:r>
              <w:rPr>
                <w:rFonts w:hint="eastAsia"/>
                <w:sz w:val="21"/>
                <w:szCs w:val="21"/>
              </w:rPr>
              <w:t>①</w:t>
            </w:r>
            <w:r>
              <w:rPr>
                <w:sz w:val="21"/>
                <w:szCs w:val="21"/>
              </w:rPr>
              <w:t>管网工程：铺设DN150PVC</w:t>
            </w:r>
            <w:r>
              <w:rPr>
                <w:rFonts w:hint="eastAsia"/>
                <w:sz w:val="21"/>
                <w:szCs w:val="21"/>
              </w:rPr>
              <w:t>—</w:t>
            </w:r>
            <w:r>
              <w:rPr>
                <w:sz w:val="21"/>
                <w:szCs w:val="21"/>
              </w:rPr>
              <w:t>U管11604m，DN300HDPE双壁波纹管21675m；设置检查井879个。</w:t>
            </w:r>
            <w:r>
              <w:rPr>
                <w:rFonts w:hint="eastAsia"/>
                <w:sz w:val="21"/>
                <w:szCs w:val="21"/>
              </w:rPr>
              <w:t>②</w:t>
            </w:r>
            <w:r>
              <w:rPr>
                <w:sz w:val="21"/>
                <w:szCs w:val="21"/>
              </w:rPr>
              <w:t>处理站工程：配置日处理规模300L分散式污水处理设备548套；建设污水暂存池7座；建设集中污水处理站22座。</w:t>
            </w:r>
          </w:p>
        </w:tc>
        <w:tc>
          <w:tcPr>
            <w:tcW w:w="1422" w:type="dxa"/>
            <w:noWrap w:val="0"/>
            <w:vAlign w:val="center"/>
          </w:tcPr>
          <w:p>
            <w:pPr>
              <w:spacing w:line="300" w:lineRule="exact"/>
              <w:jc w:val="center"/>
              <w:rPr>
                <w:sz w:val="21"/>
                <w:szCs w:val="21"/>
              </w:rPr>
            </w:pPr>
            <w:r>
              <w:rPr>
                <w:sz w:val="21"/>
                <w:szCs w:val="21"/>
              </w:rPr>
              <w:t>4775.42</w:t>
            </w:r>
          </w:p>
        </w:tc>
        <w:tc>
          <w:tcPr>
            <w:tcW w:w="1580" w:type="dxa"/>
            <w:noWrap w:val="0"/>
            <w:vAlign w:val="center"/>
          </w:tcPr>
          <w:p>
            <w:pPr>
              <w:spacing w:line="300" w:lineRule="exact"/>
              <w:rPr>
                <w:rFonts w:hint="eastAsia"/>
                <w:sz w:val="21"/>
                <w:szCs w:val="21"/>
              </w:rPr>
            </w:pPr>
            <w:r>
              <w:rPr>
                <w:rFonts w:hint="eastAsia"/>
                <w:sz w:val="21"/>
                <w:szCs w:val="21"/>
              </w:rPr>
              <w:t>白山市生态环境局长白朝鲜族自治县分局</w:t>
            </w:r>
          </w:p>
        </w:tc>
        <w:tc>
          <w:tcPr>
            <w:tcW w:w="1422" w:type="dxa"/>
            <w:tcBorders>
              <w:right w:val="single" w:color="auto" w:sz="4" w:space="0"/>
            </w:tcBorders>
            <w:noWrap w:val="0"/>
            <w:vAlign w:val="center"/>
          </w:tcPr>
          <w:p>
            <w:pPr>
              <w:spacing w:line="300" w:lineRule="exact"/>
              <w:jc w:val="center"/>
              <w:rPr>
                <w:sz w:val="21"/>
                <w:szCs w:val="21"/>
              </w:rPr>
            </w:pPr>
            <w:r>
              <w:rPr>
                <w:sz w:val="21"/>
                <w:szCs w:val="21"/>
              </w:rPr>
              <w:t>202</w:t>
            </w:r>
            <w:r>
              <w:rPr>
                <w:rFonts w:hint="eastAsia"/>
                <w:sz w:val="21"/>
                <w:szCs w:val="21"/>
              </w:rPr>
              <w:t>4—</w:t>
            </w:r>
            <w:r>
              <w:rPr>
                <w:sz w:val="21"/>
                <w:szCs w:val="21"/>
              </w:rPr>
              <w:t>20</w:t>
            </w:r>
            <w:r>
              <w:rPr>
                <w:rFonts w:hint="eastAsia"/>
                <w:sz w:val="21"/>
                <w:szCs w:val="21"/>
              </w:rPr>
              <w:t>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0" w:type="dxa"/>
            <w:tcBorders>
              <w:left w:val="single" w:color="auto" w:sz="4" w:space="0"/>
            </w:tcBorders>
            <w:noWrap w:val="0"/>
            <w:vAlign w:val="center"/>
          </w:tcPr>
          <w:p>
            <w:pPr>
              <w:spacing w:line="300" w:lineRule="exact"/>
              <w:jc w:val="center"/>
              <w:rPr>
                <w:sz w:val="21"/>
                <w:szCs w:val="21"/>
              </w:rPr>
            </w:pPr>
            <w:r>
              <w:rPr>
                <w:rFonts w:hint="eastAsia"/>
                <w:sz w:val="21"/>
                <w:szCs w:val="21"/>
              </w:rPr>
              <w:t>11</w:t>
            </w:r>
          </w:p>
        </w:tc>
        <w:tc>
          <w:tcPr>
            <w:tcW w:w="2370" w:type="dxa"/>
            <w:gridSpan w:val="2"/>
            <w:noWrap w:val="0"/>
            <w:vAlign w:val="center"/>
          </w:tcPr>
          <w:p>
            <w:pPr>
              <w:spacing w:line="300" w:lineRule="exact"/>
              <w:jc w:val="center"/>
              <w:rPr>
                <w:rFonts w:hint="eastAsia"/>
                <w:sz w:val="21"/>
                <w:szCs w:val="21"/>
              </w:rPr>
            </w:pPr>
            <w:r>
              <w:rPr>
                <w:sz w:val="21"/>
                <w:szCs w:val="21"/>
              </w:rPr>
              <w:t>长白县城区老旧污水、雨水管网升级改造项目</w:t>
            </w:r>
          </w:p>
        </w:tc>
        <w:tc>
          <w:tcPr>
            <w:tcW w:w="7426" w:type="dxa"/>
            <w:noWrap w:val="0"/>
            <w:vAlign w:val="center"/>
          </w:tcPr>
          <w:p>
            <w:pPr>
              <w:spacing w:line="300" w:lineRule="exact"/>
              <w:rPr>
                <w:rFonts w:hint="eastAsia"/>
                <w:sz w:val="21"/>
                <w:szCs w:val="21"/>
              </w:rPr>
            </w:pPr>
            <w:r>
              <w:rPr>
                <w:rFonts w:hint="eastAsia"/>
                <w:sz w:val="21"/>
                <w:szCs w:val="21"/>
              </w:rPr>
              <w:t>本项目</w:t>
            </w:r>
            <w:r>
              <w:rPr>
                <w:sz w:val="21"/>
                <w:szCs w:val="21"/>
              </w:rPr>
              <w:t>对塔山路、实中路、腰岭子巷路、北安街合流制排水管线改造为雨、污分流制排水管线；完善鸭绿江大街北侧雨水收集管线，新建、局部扩容鸭绿江大街东段渗漏及损坏污水主管线。</w:t>
            </w:r>
          </w:p>
        </w:tc>
        <w:tc>
          <w:tcPr>
            <w:tcW w:w="1422" w:type="dxa"/>
            <w:noWrap w:val="0"/>
            <w:vAlign w:val="center"/>
          </w:tcPr>
          <w:p>
            <w:pPr>
              <w:spacing w:line="300" w:lineRule="exact"/>
              <w:jc w:val="center"/>
              <w:rPr>
                <w:sz w:val="21"/>
                <w:szCs w:val="21"/>
              </w:rPr>
            </w:pPr>
            <w:r>
              <w:rPr>
                <w:rFonts w:hint="eastAsia"/>
                <w:sz w:val="21"/>
                <w:szCs w:val="21"/>
              </w:rPr>
              <w:t>3723</w:t>
            </w:r>
          </w:p>
        </w:tc>
        <w:tc>
          <w:tcPr>
            <w:tcW w:w="1580" w:type="dxa"/>
            <w:noWrap w:val="0"/>
            <w:vAlign w:val="center"/>
          </w:tcPr>
          <w:p>
            <w:pPr>
              <w:spacing w:line="300" w:lineRule="exact"/>
              <w:rPr>
                <w:rFonts w:hint="eastAsia"/>
                <w:sz w:val="21"/>
                <w:szCs w:val="21"/>
              </w:rPr>
            </w:pPr>
            <w:r>
              <w:rPr>
                <w:rFonts w:hint="eastAsia"/>
                <w:sz w:val="21"/>
                <w:szCs w:val="21"/>
              </w:rPr>
              <w:t>长白朝鲜族自治县住房和城乡建设局</w:t>
            </w:r>
          </w:p>
        </w:tc>
        <w:tc>
          <w:tcPr>
            <w:tcW w:w="1422" w:type="dxa"/>
            <w:tcBorders>
              <w:right w:val="single" w:color="auto" w:sz="4" w:space="0"/>
            </w:tcBorders>
            <w:noWrap w:val="0"/>
            <w:vAlign w:val="center"/>
          </w:tcPr>
          <w:p>
            <w:pPr>
              <w:spacing w:line="300" w:lineRule="exact"/>
              <w:jc w:val="center"/>
              <w:rPr>
                <w:sz w:val="21"/>
                <w:szCs w:val="21"/>
              </w:rPr>
            </w:pPr>
            <w:r>
              <w:rPr>
                <w:sz w:val="21"/>
                <w:szCs w:val="21"/>
              </w:rPr>
              <w:t>202</w:t>
            </w:r>
            <w:r>
              <w:rPr>
                <w:rFonts w:hint="eastAsia"/>
                <w:sz w:val="21"/>
                <w:szCs w:val="21"/>
              </w:rPr>
              <w:t>4—</w:t>
            </w:r>
            <w:r>
              <w:rPr>
                <w:sz w:val="21"/>
                <w:szCs w:val="21"/>
              </w:rPr>
              <w:t>20</w:t>
            </w:r>
            <w:r>
              <w:rPr>
                <w:rFonts w:hint="eastAsia"/>
                <w:sz w:val="21"/>
                <w:szCs w:val="21"/>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790" w:type="dxa"/>
            <w:tcBorders>
              <w:left w:val="single" w:color="auto" w:sz="4" w:space="0"/>
            </w:tcBorders>
            <w:noWrap w:val="0"/>
            <w:vAlign w:val="center"/>
          </w:tcPr>
          <w:p>
            <w:pPr>
              <w:spacing w:line="300" w:lineRule="exact"/>
              <w:jc w:val="center"/>
              <w:rPr>
                <w:sz w:val="21"/>
                <w:szCs w:val="21"/>
              </w:rPr>
            </w:pPr>
            <w:r>
              <w:rPr>
                <w:rFonts w:hint="eastAsia"/>
                <w:sz w:val="21"/>
                <w:szCs w:val="21"/>
              </w:rPr>
              <w:t>12</w:t>
            </w:r>
          </w:p>
        </w:tc>
        <w:tc>
          <w:tcPr>
            <w:tcW w:w="2370" w:type="dxa"/>
            <w:gridSpan w:val="2"/>
            <w:noWrap w:val="0"/>
            <w:vAlign w:val="center"/>
          </w:tcPr>
          <w:p>
            <w:pPr>
              <w:spacing w:line="300" w:lineRule="exact"/>
              <w:jc w:val="center"/>
              <w:rPr>
                <w:sz w:val="21"/>
                <w:szCs w:val="21"/>
              </w:rPr>
            </w:pPr>
            <w:r>
              <w:rPr>
                <w:sz w:val="21"/>
                <w:szCs w:val="21"/>
              </w:rPr>
              <w:t>八道沟镇农村人居环境整治建设项目</w:t>
            </w:r>
          </w:p>
        </w:tc>
        <w:tc>
          <w:tcPr>
            <w:tcW w:w="7426" w:type="dxa"/>
            <w:noWrap w:val="0"/>
            <w:vAlign w:val="center"/>
          </w:tcPr>
          <w:p>
            <w:pPr>
              <w:spacing w:line="300" w:lineRule="exact"/>
              <w:rPr>
                <w:rFonts w:hint="eastAsia"/>
                <w:sz w:val="21"/>
                <w:szCs w:val="21"/>
              </w:rPr>
            </w:pPr>
            <w:r>
              <w:rPr>
                <w:sz w:val="21"/>
                <w:szCs w:val="21"/>
              </w:rPr>
              <w:t>建污水管线5000m，其中</w:t>
            </w:r>
            <w:r>
              <w:rPr>
                <w:rFonts w:hint="eastAsia"/>
                <w:sz w:val="21"/>
                <w:szCs w:val="21"/>
              </w:rPr>
              <w:t>，</w:t>
            </w:r>
            <w:r>
              <w:rPr>
                <w:sz w:val="21"/>
                <w:szCs w:val="21"/>
              </w:rPr>
              <w:t>DN600mm</w:t>
            </w:r>
            <w:r>
              <w:rPr>
                <w:rFonts w:hint="eastAsia"/>
                <w:sz w:val="21"/>
                <w:szCs w:val="21"/>
              </w:rPr>
              <w:t>管</w:t>
            </w:r>
            <w:r>
              <w:rPr>
                <w:sz w:val="21"/>
                <w:szCs w:val="21"/>
              </w:rPr>
              <w:t>4000m，DN400mm管1000</w:t>
            </w:r>
            <w:r>
              <w:rPr>
                <w:rFonts w:hint="eastAsia"/>
                <w:sz w:val="21"/>
                <w:szCs w:val="21"/>
              </w:rPr>
              <w:t>m</w:t>
            </w:r>
            <w:r>
              <w:rPr>
                <w:sz w:val="21"/>
                <w:szCs w:val="21"/>
              </w:rPr>
              <w:t>，100m</w:t>
            </w:r>
            <w:r>
              <w:rPr>
                <w:rFonts w:hint="eastAsia"/>
                <w:sz w:val="21"/>
                <w:szCs w:val="21"/>
                <w:vertAlign w:val="superscript"/>
              </w:rPr>
              <w:t>3</w:t>
            </w:r>
            <w:r>
              <w:rPr>
                <w:sz w:val="21"/>
                <w:szCs w:val="21"/>
              </w:rPr>
              <w:t>污水池3座；破损路面修复7000m</w:t>
            </w:r>
            <w:r>
              <w:rPr>
                <w:rFonts w:hint="eastAsia"/>
                <w:sz w:val="21"/>
                <w:szCs w:val="21"/>
                <w:vertAlign w:val="superscript"/>
              </w:rPr>
              <w:t>2</w:t>
            </w:r>
            <w:r>
              <w:rPr>
                <w:sz w:val="21"/>
                <w:szCs w:val="21"/>
              </w:rPr>
              <w:t>；新建1座一体式污水提升泵站及1座消能井；小型污水处理厂1座，设计规模300m</w:t>
            </w:r>
            <w:r>
              <w:rPr>
                <w:rFonts w:hint="eastAsia"/>
                <w:sz w:val="21"/>
                <w:szCs w:val="21"/>
                <w:vertAlign w:val="superscript"/>
              </w:rPr>
              <w:t>3</w:t>
            </w:r>
            <w:r>
              <w:rPr>
                <w:sz w:val="21"/>
                <w:szCs w:val="21"/>
              </w:rPr>
              <w:t>/d，。污水厂区规划用地面积为5000m</w:t>
            </w:r>
            <w:r>
              <w:rPr>
                <w:rFonts w:hint="eastAsia"/>
                <w:sz w:val="21"/>
                <w:szCs w:val="21"/>
                <w:vertAlign w:val="superscript"/>
              </w:rPr>
              <w:t>2</w:t>
            </w:r>
            <w:r>
              <w:rPr>
                <w:sz w:val="21"/>
                <w:szCs w:val="21"/>
              </w:rPr>
              <w:t>，厂区占地面积3500m</w:t>
            </w:r>
            <w:r>
              <w:rPr>
                <w:rFonts w:hint="eastAsia"/>
                <w:sz w:val="21"/>
                <w:szCs w:val="21"/>
                <w:vertAlign w:val="superscript"/>
              </w:rPr>
              <w:t>2</w:t>
            </w:r>
            <w:r>
              <w:rPr>
                <w:sz w:val="21"/>
                <w:szCs w:val="21"/>
              </w:rPr>
              <w:t>。主要建设预处理间、事故调节池、综合间、大门及配套设备等。</w:t>
            </w:r>
          </w:p>
        </w:tc>
        <w:tc>
          <w:tcPr>
            <w:tcW w:w="1422" w:type="dxa"/>
            <w:noWrap w:val="0"/>
            <w:vAlign w:val="center"/>
          </w:tcPr>
          <w:p>
            <w:pPr>
              <w:spacing w:line="300" w:lineRule="exact"/>
              <w:jc w:val="center"/>
              <w:rPr>
                <w:rFonts w:hint="eastAsia"/>
                <w:sz w:val="21"/>
                <w:szCs w:val="21"/>
              </w:rPr>
            </w:pPr>
            <w:r>
              <w:rPr>
                <w:sz w:val="21"/>
                <w:szCs w:val="21"/>
              </w:rPr>
              <w:t>2500</w:t>
            </w:r>
          </w:p>
        </w:tc>
        <w:tc>
          <w:tcPr>
            <w:tcW w:w="1580" w:type="dxa"/>
            <w:noWrap w:val="0"/>
            <w:vAlign w:val="center"/>
          </w:tcPr>
          <w:p>
            <w:pPr>
              <w:spacing w:line="300" w:lineRule="exact"/>
              <w:rPr>
                <w:rFonts w:hint="eastAsia"/>
                <w:sz w:val="21"/>
                <w:szCs w:val="21"/>
              </w:rPr>
            </w:pPr>
            <w:r>
              <w:rPr>
                <w:rFonts w:hint="eastAsia"/>
                <w:sz w:val="21"/>
                <w:szCs w:val="21"/>
              </w:rPr>
              <w:t>长白朝鲜族自治县农业农村局</w:t>
            </w:r>
          </w:p>
        </w:tc>
        <w:tc>
          <w:tcPr>
            <w:tcW w:w="1422" w:type="dxa"/>
            <w:tcBorders>
              <w:right w:val="single" w:color="auto" w:sz="4" w:space="0"/>
            </w:tcBorders>
            <w:noWrap w:val="0"/>
            <w:vAlign w:val="center"/>
          </w:tcPr>
          <w:p>
            <w:pPr>
              <w:spacing w:line="300" w:lineRule="exact"/>
              <w:jc w:val="center"/>
              <w:rPr>
                <w:sz w:val="21"/>
                <w:szCs w:val="21"/>
              </w:rPr>
            </w:pPr>
            <w:r>
              <w:rPr>
                <w:sz w:val="21"/>
                <w:szCs w:val="21"/>
              </w:rPr>
              <w:t>202</w:t>
            </w:r>
            <w:r>
              <w:rPr>
                <w:rFonts w:hint="eastAsia"/>
                <w:sz w:val="21"/>
                <w:szCs w:val="21"/>
              </w:rPr>
              <w:t>4—</w:t>
            </w:r>
            <w:r>
              <w:rPr>
                <w:sz w:val="21"/>
                <w:szCs w:val="21"/>
              </w:rPr>
              <w:t>20</w:t>
            </w:r>
            <w:r>
              <w:rPr>
                <w:rFonts w:hint="eastAsia"/>
                <w:sz w:val="21"/>
                <w:szCs w:val="21"/>
              </w:rPr>
              <w:t>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10" w:type="dxa"/>
            <w:gridSpan w:val="7"/>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二、生态经济体系重点工程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90" w:type="dxa"/>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序号</w:t>
            </w:r>
          </w:p>
        </w:tc>
        <w:tc>
          <w:tcPr>
            <w:tcW w:w="2212" w:type="dxa"/>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项目名称</w:t>
            </w:r>
          </w:p>
        </w:tc>
        <w:tc>
          <w:tcPr>
            <w:tcW w:w="7584" w:type="dxa"/>
            <w:gridSpan w:val="2"/>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主要建设内容</w:t>
            </w:r>
          </w:p>
        </w:tc>
        <w:tc>
          <w:tcPr>
            <w:tcW w:w="1422" w:type="dxa"/>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投资（万元）</w:t>
            </w:r>
          </w:p>
        </w:tc>
        <w:tc>
          <w:tcPr>
            <w:tcW w:w="1580" w:type="dxa"/>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牵头单位</w:t>
            </w:r>
          </w:p>
        </w:tc>
        <w:tc>
          <w:tcPr>
            <w:tcW w:w="1422" w:type="dxa"/>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建设年限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0" w:type="dxa"/>
            <w:tcBorders>
              <w:left w:val="single" w:color="auto" w:sz="4" w:space="0"/>
            </w:tcBorders>
            <w:noWrap w:val="0"/>
            <w:vAlign w:val="center"/>
          </w:tcPr>
          <w:p>
            <w:pPr>
              <w:spacing w:line="300" w:lineRule="exact"/>
              <w:jc w:val="center"/>
              <w:rPr>
                <w:sz w:val="21"/>
                <w:szCs w:val="21"/>
              </w:rPr>
            </w:pPr>
            <w:r>
              <w:rPr>
                <w:rFonts w:hint="eastAsia"/>
                <w:sz w:val="21"/>
                <w:szCs w:val="21"/>
              </w:rPr>
              <w:t>1</w:t>
            </w:r>
          </w:p>
        </w:tc>
        <w:tc>
          <w:tcPr>
            <w:tcW w:w="2212" w:type="dxa"/>
            <w:noWrap w:val="0"/>
            <w:vAlign w:val="center"/>
          </w:tcPr>
          <w:p>
            <w:pPr>
              <w:spacing w:line="300" w:lineRule="exact"/>
              <w:jc w:val="center"/>
              <w:rPr>
                <w:sz w:val="21"/>
                <w:szCs w:val="21"/>
              </w:rPr>
            </w:pPr>
            <w:r>
              <w:rPr>
                <w:sz w:val="21"/>
                <w:szCs w:val="21"/>
              </w:rPr>
              <w:t>中国医药集团千亩灵芝产业园项目</w:t>
            </w:r>
          </w:p>
        </w:tc>
        <w:tc>
          <w:tcPr>
            <w:tcW w:w="7584" w:type="dxa"/>
            <w:gridSpan w:val="2"/>
            <w:noWrap w:val="0"/>
            <w:vAlign w:val="center"/>
          </w:tcPr>
          <w:p>
            <w:pPr>
              <w:spacing w:line="300" w:lineRule="exact"/>
              <w:rPr>
                <w:sz w:val="21"/>
                <w:szCs w:val="21"/>
              </w:rPr>
            </w:pPr>
            <w:r>
              <w:rPr>
                <w:sz w:val="21"/>
                <w:szCs w:val="21"/>
              </w:rPr>
              <w:t>建设灵芝大棚1950栋，建设灵芝博物馆和灵芝孢子粉加工厂。分三期，一期100栋，二期350栋，三期1500栋。</w:t>
            </w:r>
          </w:p>
        </w:tc>
        <w:tc>
          <w:tcPr>
            <w:tcW w:w="1422" w:type="dxa"/>
            <w:noWrap w:val="0"/>
            <w:vAlign w:val="center"/>
          </w:tcPr>
          <w:p>
            <w:pPr>
              <w:spacing w:line="300" w:lineRule="exact"/>
              <w:jc w:val="center"/>
              <w:rPr>
                <w:sz w:val="21"/>
                <w:szCs w:val="21"/>
              </w:rPr>
            </w:pPr>
            <w:r>
              <w:rPr>
                <w:rFonts w:hint="eastAsia"/>
                <w:sz w:val="21"/>
                <w:szCs w:val="21"/>
              </w:rPr>
              <w:t>2</w:t>
            </w:r>
            <w:r>
              <w:rPr>
                <w:sz w:val="21"/>
                <w:szCs w:val="21"/>
              </w:rPr>
              <w:t>000</w:t>
            </w:r>
          </w:p>
        </w:tc>
        <w:tc>
          <w:tcPr>
            <w:tcW w:w="1580" w:type="dxa"/>
            <w:noWrap w:val="0"/>
            <w:vAlign w:val="center"/>
          </w:tcPr>
          <w:p>
            <w:pPr>
              <w:spacing w:line="300" w:lineRule="exact"/>
              <w:rPr>
                <w:sz w:val="21"/>
                <w:szCs w:val="21"/>
              </w:rPr>
            </w:pPr>
            <w:r>
              <w:rPr>
                <w:rFonts w:hint="eastAsia"/>
                <w:sz w:val="21"/>
                <w:szCs w:val="21"/>
              </w:rPr>
              <w:t>十四道沟镇人民政府</w:t>
            </w:r>
          </w:p>
        </w:tc>
        <w:tc>
          <w:tcPr>
            <w:tcW w:w="1422" w:type="dxa"/>
            <w:tcBorders>
              <w:right w:val="single" w:color="auto" w:sz="4" w:space="0"/>
            </w:tcBorders>
            <w:noWrap w:val="0"/>
            <w:vAlign w:val="center"/>
          </w:tcPr>
          <w:p>
            <w:pPr>
              <w:spacing w:line="300" w:lineRule="exact"/>
              <w:jc w:val="center"/>
              <w:rPr>
                <w:sz w:val="21"/>
                <w:szCs w:val="21"/>
              </w:rPr>
            </w:pPr>
            <w:r>
              <w:rPr>
                <w:rFonts w:hint="eastAsia"/>
                <w:sz w:val="21"/>
                <w:szCs w:val="21"/>
              </w:rPr>
              <w:t>2</w:t>
            </w:r>
            <w:r>
              <w:rPr>
                <w:sz w:val="21"/>
                <w:szCs w:val="21"/>
              </w:rPr>
              <w:t>024</w:t>
            </w:r>
            <w:r>
              <w:rPr>
                <w:rFonts w:hint="eastAsia"/>
                <w:sz w:val="21"/>
                <w:szCs w:val="21"/>
              </w:rPr>
              <w:t>—</w:t>
            </w:r>
            <w:r>
              <w:rPr>
                <w:sz w:val="21"/>
                <w:szCs w:val="21"/>
              </w:rPr>
              <w:t>20</w:t>
            </w:r>
            <w:r>
              <w:rPr>
                <w:rFonts w:hint="eastAsia"/>
                <w:sz w:val="21"/>
                <w:szCs w:val="21"/>
              </w:rPr>
              <w:t>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tcBorders>
              <w:left w:val="single" w:color="auto" w:sz="4" w:space="0"/>
            </w:tcBorders>
            <w:noWrap w:val="0"/>
            <w:vAlign w:val="center"/>
          </w:tcPr>
          <w:p>
            <w:pPr>
              <w:spacing w:line="300" w:lineRule="exact"/>
              <w:jc w:val="center"/>
              <w:rPr>
                <w:rFonts w:hint="eastAsia"/>
                <w:sz w:val="21"/>
                <w:szCs w:val="21"/>
              </w:rPr>
            </w:pPr>
            <w:r>
              <w:rPr>
                <w:rFonts w:hint="eastAsia"/>
                <w:sz w:val="21"/>
                <w:szCs w:val="21"/>
              </w:rPr>
              <w:t>2</w:t>
            </w:r>
          </w:p>
        </w:tc>
        <w:tc>
          <w:tcPr>
            <w:tcW w:w="2212" w:type="dxa"/>
            <w:noWrap w:val="0"/>
            <w:vAlign w:val="center"/>
          </w:tcPr>
          <w:p>
            <w:pPr>
              <w:spacing w:line="300" w:lineRule="exact"/>
              <w:jc w:val="center"/>
              <w:rPr>
                <w:sz w:val="21"/>
                <w:szCs w:val="21"/>
              </w:rPr>
            </w:pPr>
            <w:r>
              <w:rPr>
                <w:sz w:val="21"/>
                <w:szCs w:val="21"/>
              </w:rPr>
              <w:t>长白县冰雪基础设施建设项目</w:t>
            </w:r>
          </w:p>
        </w:tc>
        <w:tc>
          <w:tcPr>
            <w:tcW w:w="7584" w:type="dxa"/>
            <w:gridSpan w:val="2"/>
            <w:noWrap w:val="0"/>
            <w:vAlign w:val="center"/>
          </w:tcPr>
          <w:p>
            <w:pPr>
              <w:spacing w:line="300" w:lineRule="exact"/>
              <w:rPr>
                <w:sz w:val="21"/>
                <w:szCs w:val="21"/>
              </w:rPr>
            </w:pPr>
            <w:r>
              <w:rPr>
                <w:sz w:val="21"/>
                <w:szCs w:val="21"/>
              </w:rPr>
              <w:t>总用地面积21170m</w:t>
            </w:r>
            <w:r>
              <w:rPr>
                <w:rFonts w:hint="eastAsia"/>
                <w:sz w:val="21"/>
                <w:szCs w:val="21"/>
                <w:vertAlign w:val="superscript"/>
              </w:rPr>
              <w:t>2</w:t>
            </w:r>
            <w:r>
              <w:rPr>
                <w:sz w:val="21"/>
                <w:szCs w:val="21"/>
              </w:rPr>
              <w:t>，其中停车场用地面积5000m</w:t>
            </w:r>
            <w:r>
              <w:rPr>
                <w:rFonts w:hint="eastAsia"/>
                <w:sz w:val="21"/>
                <w:szCs w:val="21"/>
                <w:vertAlign w:val="superscript"/>
              </w:rPr>
              <w:t>2</w:t>
            </w:r>
            <w:r>
              <w:rPr>
                <w:sz w:val="21"/>
                <w:szCs w:val="21"/>
              </w:rPr>
              <w:t>，雪道用地面积10200m</w:t>
            </w:r>
            <w:r>
              <w:rPr>
                <w:rFonts w:hint="eastAsia"/>
                <w:sz w:val="21"/>
                <w:szCs w:val="21"/>
                <w:vertAlign w:val="superscript"/>
              </w:rPr>
              <w:t>2</w:t>
            </w:r>
            <w:r>
              <w:rPr>
                <w:sz w:val="21"/>
                <w:szCs w:val="21"/>
              </w:rPr>
              <w:t>，配套服务区用地面积5970m</w:t>
            </w:r>
            <w:r>
              <w:rPr>
                <w:rFonts w:hint="eastAsia"/>
                <w:sz w:val="21"/>
                <w:szCs w:val="21"/>
                <w:vertAlign w:val="superscript"/>
              </w:rPr>
              <w:t>2</w:t>
            </w:r>
            <w:r>
              <w:rPr>
                <w:sz w:val="21"/>
                <w:szCs w:val="21"/>
              </w:rPr>
              <w:t>。本项目建设内容包括滑雪场和住宿营地两部分。</w:t>
            </w:r>
          </w:p>
        </w:tc>
        <w:tc>
          <w:tcPr>
            <w:tcW w:w="1422" w:type="dxa"/>
            <w:noWrap w:val="0"/>
            <w:vAlign w:val="center"/>
          </w:tcPr>
          <w:p>
            <w:pPr>
              <w:spacing w:line="300" w:lineRule="exact"/>
              <w:jc w:val="center"/>
              <w:rPr>
                <w:rFonts w:hint="eastAsia"/>
                <w:sz w:val="21"/>
                <w:szCs w:val="21"/>
              </w:rPr>
            </w:pPr>
            <w:r>
              <w:rPr>
                <w:sz w:val="21"/>
                <w:szCs w:val="21"/>
              </w:rPr>
              <w:t>11134</w:t>
            </w:r>
          </w:p>
        </w:tc>
        <w:tc>
          <w:tcPr>
            <w:tcW w:w="1580" w:type="dxa"/>
            <w:noWrap w:val="0"/>
            <w:vAlign w:val="center"/>
          </w:tcPr>
          <w:p>
            <w:pPr>
              <w:spacing w:line="300" w:lineRule="exact"/>
              <w:rPr>
                <w:rFonts w:hint="eastAsia"/>
                <w:sz w:val="21"/>
                <w:szCs w:val="21"/>
              </w:rPr>
            </w:pPr>
            <w:r>
              <w:rPr>
                <w:rFonts w:hint="eastAsia"/>
                <w:sz w:val="21"/>
                <w:szCs w:val="21"/>
              </w:rPr>
              <w:t>长白朝鲜族自治县文化广播电视和旅游局</w:t>
            </w:r>
          </w:p>
        </w:tc>
        <w:tc>
          <w:tcPr>
            <w:tcW w:w="1422" w:type="dxa"/>
            <w:tcBorders>
              <w:right w:val="single" w:color="auto" w:sz="4" w:space="0"/>
            </w:tcBorders>
            <w:noWrap w:val="0"/>
            <w:vAlign w:val="center"/>
          </w:tcPr>
          <w:p>
            <w:pPr>
              <w:spacing w:line="300" w:lineRule="exact"/>
              <w:jc w:val="center"/>
              <w:rPr>
                <w:sz w:val="21"/>
                <w:szCs w:val="21"/>
              </w:rPr>
            </w:pPr>
            <w:r>
              <w:rPr>
                <w:sz w:val="21"/>
                <w:szCs w:val="21"/>
              </w:rPr>
              <w:t>202</w:t>
            </w:r>
            <w:r>
              <w:rPr>
                <w:rFonts w:hint="eastAsia"/>
                <w:sz w:val="21"/>
                <w:szCs w:val="21"/>
              </w:rPr>
              <w:t>4—</w:t>
            </w:r>
            <w:r>
              <w:rPr>
                <w:sz w:val="21"/>
                <w:szCs w:val="21"/>
              </w:rPr>
              <w:t>20</w:t>
            </w:r>
            <w:r>
              <w:rPr>
                <w:rFonts w:hint="eastAsia"/>
                <w:sz w:val="21"/>
                <w:szCs w:val="21"/>
              </w:rPr>
              <w:t>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10" w:type="dxa"/>
            <w:gridSpan w:val="7"/>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三、生态文化体系重点工程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0" w:type="dxa"/>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序号</w:t>
            </w:r>
          </w:p>
        </w:tc>
        <w:tc>
          <w:tcPr>
            <w:tcW w:w="2212" w:type="dxa"/>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项目名称</w:t>
            </w:r>
          </w:p>
        </w:tc>
        <w:tc>
          <w:tcPr>
            <w:tcW w:w="7584" w:type="dxa"/>
            <w:gridSpan w:val="2"/>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主要建设内容</w:t>
            </w:r>
          </w:p>
        </w:tc>
        <w:tc>
          <w:tcPr>
            <w:tcW w:w="1422" w:type="dxa"/>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投资（万元）</w:t>
            </w:r>
          </w:p>
        </w:tc>
        <w:tc>
          <w:tcPr>
            <w:tcW w:w="1580" w:type="dxa"/>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牵头单位</w:t>
            </w:r>
          </w:p>
        </w:tc>
        <w:tc>
          <w:tcPr>
            <w:tcW w:w="1422" w:type="dxa"/>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建设年限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90" w:type="dxa"/>
            <w:tcBorders>
              <w:left w:val="single" w:color="auto" w:sz="4" w:space="0"/>
              <w:bottom w:val="single" w:color="auto" w:sz="4" w:space="0"/>
            </w:tcBorders>
            <w:noWrap w:val="0"/>
            <w:vAlign w:val="center"/>
          </w:tcPr>
          <w:p>
            <w:pPr>
              <w:spacing w:line="300" w:lineRule="exact"/>
              <w:jc w:val="center"/>
              <w:rPr>
                <w:rFonts w:hint="eastAsia"/>
                <w:sz w:val="21"/>
                <w:szCs w:val="21"/>
              </w:rPr>
            </w:pPr>
            <w:r>
              <w:rPr>
                <w:rFonts w:hint="eastAsia"/>
                <w:sz w:val="21"/>
                <w:szCs w:val="21"/>
              </w:rPr>
              <w:t>1</w:t>
            </w:r>
          </w:p>
        </w:tc>
        <w:tc>
          <w:tcPr>
            <w:tcW w:w="2212" w:type="dxa"/>
            <w:tcBorders>
              <w:bottom w:val="single" w:color="auto" w:sz="4" w:space="0"/>
            </w:tcBorders>
            <w:noWrap w:val="0"/>
            <w:vAlign w:val="center"/>
          </w:tcPr>
          <w:p>
            <w:pPr>
              <w:spacing w:line="300" w:lineRule="exact"/>
              <w:jc w:val="center"/>
              <w:rPr>
                <w:rFonts w:hint="eastAsia"/>
                <w:sz w:val="21"/>
                <w:szCs w:val="21"/>
              </w:rPr>
            </w:pPr>
            <w:r>
              <w:rPr>
                <w:rFonts w:hint="eastAsia"/>
                <w:sz w:val="21"/>
                <w:szCs w:val="21"/>
              </w:rPr>
              <w:t>长白县公共实训基地建设项目</w:t>
            </w:r>
          </w:p>
        </w:tc>
        <w:tc>
          <w:tcPr>
            <w:tcW w:w="7584" w:type="dxa"/>
            <w:gridSpan w:val="2"/>
            <w:tcBorders>
              <w:bottom w:val="single" w:color="auto" w:sz="4" w:space="0"/>
            </w:tcBorders>
            <w:noWrap w:val="0"/>
            <w:vAlign w:val="center"/>
          </w:tcPr>
          <w:p>
            <w:pPr>
              <w:spacing w:line="300" w:lineRule="exact"/>
              <w:rPr>
                <w:rFonts w:hint="eastAsia"/>
                <w:sz w:val="21"/>
                <w:szCs w:val="21"/>
              </w:rPr>
            </w:pPr>
            <w:r>
              <w:rPr>
                <w:rFonts w:hint="eastAsia"/>
                <w:sz w:val="21"/>
                <w:szCs w:val="21"/>
              </w:rPr>
              <w:t>新建实训楼一栋，实训车间一栋、设备用房一间，总建筑面积5016.32</w:t>
            </w:r>
            <w:r>
              <w:rPr>
                <w:sz w:val="21"/>
                <w:szCs w:val="21"/>
              </w:rPr>
              <w:t>m</w:t>
            </w:r>
            <w:r>
              <w:rPr>
                <w:rFonts w:hint="eastAsia"/>
                <w:sz w:val="21"/>
                <w:szCs w:val="21"/>
                <w:vertAlign w:val="superscript"/>
              </w:rPr>
              <w:t>2</w:t>
            </w:r>
            <w:r>
              <w:rPr>
                <w:rFonts w:hint="eastAsia"/>
                <w:sz w:val="21"/>
                <w:szCs w:val="21"/>
              </w:rPr>
              <w:t>，其中：新建实训楼3606.51</w:t>
            </w:r>
            <w:r>
              <w:rPr>
                <w:sz w:val="21"/>
                <w:szCs w:val="21"/>
              </w:rPr>
              <w:t>m</w:t>
            </w:r>
            <w:r>
              <w:rPr>
                <w:rFonts w:hint="eastAsia"/>
                <w:sz w:val="21"/>
                <w:szCs w:val="21"/>
                <w:vertAlign w:val="superscript"/>
              </w:rPr>
              <w:t>2</w:t>
            </w:r>
            <w:r>
              <w:rPr>
                <w:rFonts w:hint="eastAsia"/>
                <w:sz w:val="21"/>
                <w:szCs w:val="21"/>
              </w:rPr>
              <w:t>，新建实训车间1183.28</w:t>
            </w:r>
            <w:r>
              <w:rPr>
                <w:sz w:val="21"/>
                <w:szCs w:val="21"/>
              </w:rPr>
              <w:t>m</w:t>
            </w:r>
            <w:r>
              <w:rPr>
                <w:rFonts w:hint="eastAsia"/>
                <w:sz w:val="21"/>
                <w:szCs w:val="21"/>
                <w:vertAlign w:val="superscript"/>
              </w:rPr>
              <w:t>2</w:t>
            </w:r>
            <w:r>
              <w:rPr>
                <w:rFonts w:hint="eastAsia"/>
                <w:sz w:val="21"/>
                <w:szCs w:val="21"/>
              </w:rPr>
              <w:t>，新建设备用房226.53</w:t>
            </w:r>
            <w:r>
              <w:rPr>
                <w:sz w:val="21"/>
                <w:szCs w:val="21"/>
              </w:rPr>
              <w:t xml:space="preserve"> m</w:t>
            </w:r>
            <w:r>
              <w:rPr>
                <w:rFonts w:hint="eastAsia"/>
                <w:sz w:val="21"/>
                <w:szCs w:val="21"/>
                <w:vertAlign w:val="superscript"/>
              </w:rPr>
              <w:t>2</w:t>
            </w:r>
            <w:r>
              <w:rPr>
                <w:rFonts w:hint="eastAsia"/>
                <w:sz w:val="21"/>
                <w:szCs w:val="21"/>
              </w:rPr>
              <w:t>。购置主要设备21台（套）及配套设备建设。</w:t>
            </w:r>
          </w:p>
        </w:tc>
        <w:tc>
          <w:tcPr>
            <w:tcW w:w="1422" w:type="dxa"/>
            <w:tcBorders>
              <w:bottom w:val="single" w:color="auto" w:sz="4" w:space="0"/>
            </w:tcBorders>
            <w:noWrap w:val="0"/>
            <w:vAlign w:val="center"/>
          </w:tcPr>
          <w:p>
            <w:pPr>
              <w:spacing w:line="300" w:lineRule="exact"/>
              <w:jc w:val="center"/>
              <w:rPr>
                <w:rFonts w:hint="eastAsia"/>
                <w:sz w:val="21"/>
                <w:szCs w:val="21"/>
              </w:rPr>
            </w:pPr>
            <w:r>
              <w:rPr>
                <w:rFonts w:hint="eastAsia"/>
                <w:sz w:val="21"/>
                <w:szCs w:val="21"/>
              </w:rPr>
              <w:t>1886.57</w:t>
            </w:r>
          </w:p>
        </w:tc>
        <w:tc>
          <w:tcPr>
            <w:tcW w:w="1580" w:type="dxa"/>
            <w:tcBorders>
              <w:bottom w:val="single" w:color="auto" w:sz="4" w:space="0"/>
            </w:tcBorders>
            <w:noWrap w:val="0"/>
            <w:vAlign w:val="center"/>
          </w:tcPr>
          <w:p>
            <w:pPr>
              <w:spacing w:line="300" w:lineRule="exact"/>
              <w:rPr>
                <w:rFonts w:hint="eastAsia"/>
                <w:sz w:val="21"/>
                <w:szCs w:val="21"/>
              </w:rPr>
            </w:pPr>
            <w:r>
              <w:rPr>
                <w:rFonts w:hint="eastAsia"/>
                <w:sz w:val="21"/>
                <w:szCs w:val="21"/>
              </w:rPr>
              <w:t>长白朝鲜族自治县人力资源和社会保障局</w:t>
            </w:r>
          </w:p>
        </w:tc>
        <w:tc>
          <w:tcPr>
            <w:tcW w:w="1422" w:type="dxa"/>
            <w:tcBorders>
              <w:bottom w:val="single" w:color="auto" w:sz="4" w:space="0"/>
              <w:right w:val="single" w:color="auto" w:sz="4" w:space="0"/>
            </w:tcBorders>
            <w:noWrap w:val="0"/>
            <w:vAlign w:val="center"/>
          </w:tcPr>
          <w:p>
            <w:pPr>
              <w:spacing w:line="300" w:lineRule="exact"/>
              <w:jc w:val="center"/>
              <w:rPr>
                <w:sz w:val="21"/>
                <w:szCs w:val="21"/>
              </w:rPr>
            </w:pPr>
            <w:r>
              <w:rPr>
                <w:rFonts w:hint="eastAsia"/>
                <w:sz w:val="21"/>
                <w:szCs w:val="21"/>
              </w:rPr>
              <w:t>2024—2025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0" w:type="dxa"/>
            <w:tcBorders>
              <w:left w:val="single" w:color="auto" w:sz="4" w:space="0"/>
              <w:bottom w:val="single" w:color="auto" w:sz="4" w:space="0"/>
            </w:tcBorders>
            <w:noWrap w:val="0"/>
            <w:vAlign w:val="center"/>
          </w:tcPr>
          <w:p>
            <w:pPr>
              <w:spacing w:line="300" w:lineRule="exact"/>
              <w:jc w:val="center"/>
              <w:rPr>
                <w:rFonts w:hint="eastAsia"/>
                <w:sz w:val="21"/>
                <w:szCs w:val="21"/>
              </w:rPr>
            </w:pPr>
            <w:r>
              <w:rPr>
                <w:rFonts w:hint="eastAsia"/>
                <w:sz w:val="21"/>
                <w:szCs w:val="21"/>
              </w:rPr>
              <w:t>2</w:t>
            </w:r>
          </w:p>
        </w:tc>
        <w:tc>
          <w:tcPr>
            <w:tcW w:w="2212" w:type="dxa"/>
            <w:tcBorders>
              <w:bottom w:val="single" w:color="auto" w:sz="4" w:space="0"/>
            </w:tcBorders>
            <w:noWrap w:val="0"/>
            <w:vAlign w:val="center"/>
          </w:tcPr>
          <w:p>
            <w:pPr>
              <w:spacing w:line="300" w:lineRule="exact"/>
              <w:jc w:val="center"/>
              <w:rPr>
                <w:rFonts w:hint="eastAsia"/>
                <w:sz w:val="21"/>
                <w:szCs w:val="21"/>
              </w:rPr>
            </w:pPr>
            <w:r>
              <w:rPr>
                <w:sz w:val="21"/>
                <w:szCs w:val="21"/>
              </w:rPr>
              <w:t>长白县体育公园建设项目</w:t>
            </w:r>
          </w:p>
        </w:tc>
        <w:tc>
          <w:tcPr>
            <w:tcW w:w="7584" w:type="dxa"/>
            <w:gridSpan w:val="2"/>
            <w:tcBorders>
              <w:bottom w:val="single" w:color="auto" w:sz="4" w:space="0"/>
            </w:tcBorders>
            <w:noWrap w:val="0"/>
            <w:vAlign w:val="center"/>
          </w:tcPr>
          <w:p>
            <w:pPr>
              <w:spacing w:line="300" w:lineRule="exact"/>
              <w:rPr>
                <w:rFonts w:hint="eastAsia"/>
                <w:sz w:val="21"/>
                <w:szCs w:val="21"/>
              </w:rPr>
            </w:pPr>
            <w:r>
              <w:rPr>
                <w:sz w:val="21"/>
                <w:szCs w:val="21"/>
              </w:rPr>
              <w:t>新建七人制足球场、网球场、篮球场、轮滑场、步道、健身广场以及配套设施。</w:t>
            </w:r>
          </w:p>
        </w:tc>
        <w:tc>
          <w:tcPr>
            <w:tcW w:w="1422" w:type="dxa"/>
            <w:tcBorders>
              <w:bottom w:val="single" w:color="auto" w:sz="4" w:space="0"/>
            </w:tcBorders>
            <w:noWrap w:val="0"/>
            <w:vAlign w:val="center"/>
          </w:tcPr>
          <w:p>
            <w:pPr>
              <w:spacing w:line="300" w:lineRule="exact"/>
              <w:jc w:val="center"/>
              <w:rPr>
                <w:sz w:val="21"/>
                <w:szCs w:val="21"/>
              </w:rPr>
            </w:pPr>
            <w:r>
              <w:rPr>
                <w:sz w:val="21"/>
                <w:szCs w:val="21"/>
              </w:rPr>
              <w:t>2100</w:t>
            </w:r>
          </w:p>
        </w:tc>
        <w:tc>
          <w:tcPr>
            <w:tcW w:w="1580" w:type="dxa"/>
            <w:tcBorders>
              <w:bottom w:val="single" w:color="auto" w:sz="4" w:space="0"/>
            </w:tcBorders>
            <w:noWrap w:val="0"/>
            <w:vAlign w:val="center"/>
          </w:tcPr>
          <w:p>
            <w:pPr>
              <w:spacing w:line="300" w:lineRule="exact"/>
              <w:rPr>
                <w:rFonts w:hint="eastAsia"/>
                <w:sz w:val="21"/>
                <w:szCs w:val="21"/>
              </w:rPr>
            </w:pPr>
            <w:r>
              <w:rPr>
                <w:rFonts w:hint="eastAsia"/>
                <w:sz w:val="21"/>
                <w:szCs w:val="21"/>
              </w:rPr>
              <w:t>长白朝鲜族自治县文化广播电视和旅游局</w:t>
            </w:r>
          </w:p>
        </w:tc>
        <w:tc>
          <w:tcPr>
            <w:tcW w:w="1422" w:type="dxa"/>
            <w:tcBorders>
              <w:bottom w:val="single" w:color="auto" w:sz="4" w:space="0"/>
              <w:right w:val="single" w:color="auto" w:sz="4" w:space="0"/>
            </w:tcBorders>
            <w:noWrap w:val="0"/>
            <w:vAlign w:val="center"/>
          </w:tcPr>
          <w:p>
            <w:pPr>
              <w:spacing w:line="300" w:lineRule="exact"/>
              <w:jc w:val="center"/>
              <w:rPr>
                <w:sz w:val="21"/>
                <w:szCs w:val="21"/>
              </w:rPr>
            </w:pPr>
            <w:r>
              <w:rPr>
                <w:sz w:val="21"/>
                <w:szCs w:val="21"/>
              </w:rPr>
              <w:t>202</w:t>
            </w:r>
            <w:r>
              <w:rPr>
                <w:rFonts w:hint="eastAsia"/>
                <w:sz w:val="21"/>
                <w:szCs w:val="21"/>
              </w:rPr>
              <w:t>4—</w:t>
            </w:r>
            <w:r>
              <w:rPr>
                <w:sz w:val="21"/>
                <w:szCs w:val="21"/>
              </w:rPr>
              <w:t>20</w:t>
            </w:r>
            <w:r>
              <w:rPr>
                <w:rFonts w:hint="eastAsia"/>
                <w:sz w:val="21"/>
                <w:szCs w:val="21"/>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0" w:type="dxa"/>
            <w:tcBorders>
              <w:left w:val="single" w:color="auto" w:sz="4" w:space="0"/>
              <w:bottom w:val="single" w:color="auto" w:sz="4" w:space="0"/>
            </w:tcBorders>
            <w:noWrap w:val="0"/>
            <w:vAlign w:val="center"/>
          </w:tcPr>
          <w:p>
            <w:pPr>
              <w:spacing w:line="300" w:lineRule="exact"/>
              <w:jc w:val="center"/>
              <w:rPr>
                <w:rFonts w:hint="eastAsia"/>
                <w:sz w:val="21"/>
                <w:szCs w:val="21"/>
              </w:rPr>
            </w:pPr>
            <w:r>
              <w:rPr>
                <w:rFonts w:hint="eastAsia"/>
                <w:sz w:val="21"/>
                <w:szCs w:val="21"/>
              </w:rPr>
              <w:t>3</w:t>
            </w:r>
          </w:p>
        </w:tc>
        <w:tc>
          <w:tcPr>
            <w:tcW w:w="2212" w:type="dxa"/>
            <w:tcBorders>
              <w:bottom w:val="single" w:color="auto" w:sz="4" w:space="0"/>
            </w:tcBorders>
            <w:noWrap w:val="0"/>
            <w:vAlign w:val="center"/>
          </w:tcPr>
          <w:p>
            <w:pPr>
              <w:spacing w:line="300" w:lineRule="exact"/>
              <w:jc w:val="center"/>
              <w:rPr>
                <w:sz w:val="21"/>
                <w:szCs w:val="21"/>
              </w:rPr>
            </w:pPr>
            <w:r>
              <w:rPr>
                <w:rFonts w:hint="eastAsia"/>
                <w:sz w:val="21"/>
                <w:szCs w:val="21"/>
              </w:rPr>
              <w:t>长白县社区居家养老服务中心建设项目</w:t>
            </w:r>
          </w:p>
        </w:tc>
        <w:tc>
          <w:tcPr>
            <w:tcW w:w="7584" w:type="dxa"/>
            <w:gridSpan w:val="2"/>
            <w:tcBorders>
              <w:bottom w:val="single" w:color="auto" w:sz="4" w:space="0"/>
            </w:tcBorders>
            <w:noWrap w:val="0"/>
            <w:vAlign w:val="center"/>
          </w:tcPr>
          <w:p>
            <w:pPr>
              <w:spacing w:line="300" w:lineRule="exact"/>
              <w:rPr>
                <w:sz w:val="21"/>
                <w:szCs w:val="21"/>
              </w:rPr>
            </w:pPr>
            <w:r>
              <w:rPr>
                <w:rFonts w:hint="eastAsia"/>
                <w:sz w:val="21"/>
                <w:szCs w:val="21"/>
              </w:rPr>
              <w:t>总占地面积3262.98</w:t>
            </w:r>
            <w:r>
              <w:rPr>
                <w:sz w:val="21"/>
                <w:szCs w:val="21"/>
              </w:rPr>
              <w:t>m</w:t>
            </w:r>
            <w:r>
              <w:rPr>
                <w:rFonts w:hint="eastAsia"/>
                <w:sz w:val="21"/>
                <w:szCs w:val="21"/>
                <w:vertAlign w:val="superscript"/>
              </w:rPr>
              <w:t>2</w:t>
            </w:r>
            <w:r>
              <w:rPr>
                <w:rFonts w:hint="eastAsia"/>
                <w:sz w:val="21"/>
                <w:szCs w:val="21"/>
              </w:rPr>
              <w:t>，新建社区居家养老服务中心1栋，建筑面积3857.06</w:t>
            </w:r>
            <w:r>
              <w:rPr>
                <w:sz w:val="21"/>
                <w:szCs w:val="21"/>
              </w:rPr>
              <w:t>m</w:t>
            </w:r>
            <w:r>
              <w:rPr>
                <w:rFonts w:hint="eastAsia"/>
                <w:sz w:val="21"/>
                <w:szCs w:val="21"/>
                <w:vertAlign w:val="superscript"/>
              </w:rPr>
              <w:t>2</w:t>
            </w:r>
            <w:r>
              <w:rPr>
                <w:rFonts w:hint="eastAsia"/>
                <w:sz w:val="21"/>
                <w:szCs w:val="21"/>
              </w:rPr>
              <w:t>，设置养老床位97张；新建道路硬化及室外活动场地面积1304.66</w:t>
            </w:r>
            <w:r>
              <w:rPr>
                <w:sz w:val="21"/>
                <w:szCs w:val="21"/>
              </w:rPr>
              <w:t>m</w:t>
            </w:r>
            <w:r>
              <w:rPr>
                <w:rFonts w:hint="eastAsia"/>
                <w:sz w:val="21"/>
                <w:szCs w:val="21"/>
                <w:vertAlign w:val="superscript"/>
              </w:rPr>
              <w:t>2</w:t>
            </w:r>
            <w:r>
              <w:rPr>
                <w:rFonts w:hint="eastAsia"/>
                <w:sz w:val="21"/>
                <w:szCs w:val="21"/>
              </w:rPr>
              <w:t>；绿化面积1142.05</w:t>
            </w:r>
            <w:r>
              <w:rPr>
                <w:sz w:val="21"/>
                <w:szCs w:val="21"/>
              </w:rPr>
              <w:t>m</w:t>
            </w:r>
            <w:r>
              <w:rPr>
                <w:rFonts w:hint="eastAsia"/>
                <w:sz w:val="21"/>
                <w:szCs w:val="21"/>
                <w:vertAlign w:val="superscript"/>
              </w:rPr>
              <w:t>2</w:t>
            </w:r>
            <w:r>
              <w:rPr>
                <w:rFonts w:hint="eastAsia"/>
                <w:sz w:val="21"/>
                <w:szCs w:val="21"/>
              </w:rPr>
              <w:t>。购置相关设备及配套建设附属设施。</w:t>
            </w:r>
          </w:p>
        </w:tc>
        <w:tc>
          <w:tcPr>
            <w:tcW w:w="1422" w:type="dxa"/>
            <w:tcBorders>
              <w:bottom w:val="single" w:color="auto" w:sz="4" w:space="0"/>
            </w:tcBorders>
            <w:noWrap w:val="0"/>
            <w:vAlign w:val="center"/>
          </w:tcPr>
          <w:p>
            <w:pPr>
              <w:spacing w:line="300" w:lineRule="exact"/>
              <w:jc w:val="center"/>
              <w:rPr>
                <w:sz w:val="21"/>
                <w:szCs w:val="21"/>
              </w:rPr>
            </w:pPr>
            <w:r>
              <w:rPr>
                <w:sz w:val="21"/>
                <w:szCs w:val="21"/>
              </w:rPr>
              <w:t>2500</w:t>
            </w:r>
          </w:p>
        </w:tc>
        <w:tc>
          <w:tcPr>
            <w:tcW w:w="1580" w:type="dxa"/>
            <w:tcBorders>
              <w:bottom w:val="single" w:color="auto" w:sz="4" w:space="0"/>
            </w:tcBorders>
            <w:noWrap w:val="0"/>
            <w:vAlign w:val="center"/>
          </w:tcPr>
          <w:p>
            <w:pPr>
              <w:spacing w:line="300" w:lineRule="exact"/>
              <w:rPr>
                <w:sz w:val="21"/>
                <w:szCs w:val="21"/>
              </w:rPr>
            </w:pPr>
            <w:r>
              <w:rPr>
                <w:rFonts w:hint="eastAsia"/>
                <w:sz w:val="21"/>
                <w:szCs w:val="21"/>
              </w:rPr>
              <w:t>长白朝鲜族自治县民政局</w:t>
            </w:r>
          </w:p>
        </w:tc>
        <w:tc>
          <w:tcPr>
            <w:tcW w:w="1422" w:type="dxa"/>
            <w:tcBorders>
              <w:bottom w:val="single" w:color="auto" w:sz="4" w:space="0"/>
              <w:right w:val="single" w:color="auto" w:sz="4" w:space="0"/>
            </w:tcBorders>
            <w:noWrap w:val="0"/>
            <w:vAlign w:val="center"/>
          </w:tcPr>
          <w:p>
            <w:pPr>
              <w:spacing w:line="300" w:lineRule="exact"/>
              <w:jc w:val="center"/>
              <w:rPr>
                <w:sz w:val="21"/>
                <w:szCs w:val="21"/>
              </w:rPr>
            </w:pPr>
            <w:r>
              <w:rPr>
                <w:sz w:val="21"/>
                <w:szCs w:val="21"/>
              </w:rPr>
              <w:t>2024</w:t>
            </w:r>
            <w:r>
              <w:rPr>
                <w:rFonts w:hint="eastAsia"/>
                <w:sz w:val="21"/>
                <w:szCs w:val="21"/>
              </w:rPr>
              <w:t>—</w:t>
            </w:r>
            <w:r>
              <w:rPr>
                <w:sz w:val="21"/>
                <w:szCs w:val="21"/>
              </w:rPr>
              <w:t>20</w:t>
            </w:r>
            <w:r>
              <w:rPr>
                <w:rFonts w:hint="eastAsia"/>
                <w:sz w:val="21"/>
                <w:szCs w:val="21"/>
              </w:rPr>
              <w:t>27</w:t>
            </w:r>
          </w:p>
        </w:tc>
      </w:tr>
    </w:tbl>
    <w:p>
      <w:pPr>
        <w:spacing w:line="480" w:lineRule="exact"/>
        <w:rPr>
          <w:rFonts w:hint="eastAsia" w:eastAsia="方正黑体_GBK"/>
        </w:rPr>
      </w:pPr>
    </w:p>
    <w:p>
      <w:pPr>
        <w:spacing w:line="480" w:lineRule="exact"/>
        <w:rPr>
          <w:rFonts w:hint="eastAsia" w:eastAsia="方正黑体_GBK"/>
        </w:rPr>
      </w:pPr>
    </w:p>
    <w:p>
      <w:pPr>
        <w:spacing w:line="480" w:lineRule="exact"/>
        <w:rPr>
          <w:rFonts w:hint="eastAsia" w:eastAsia="方正黑体_GBK"/>
        </w:rPr>
      </w:pPr>
    </w:p>
    <w:p>
      <w:pPr>
        <w:spacing w:line="480" w:lineRule="exact"/>
        <w:rPr>
          <w:rFonts w:hint="eastAsia" w:eastAsia="方正黑体_GBK"/>
        </w:rPr>
      </w:pPr>
    </w:p>
    <w:p>
      <w:pPr>
        <w:spacing w:line="480" w:lineRule="exact"/>
        <w:rPr>
          <w:rFonts w:hint="eastAsia" w:eastAsia="方正黑体_GBK"/>
        </w:rPr>
      </w:pPr>
    </w:p>
    <w:p>
      <w:pPr>
        <w:spacing w:line="480" w:lineRule="exact"/>
        <w:rPr>
          <w:rFonts w:hint="eastAsia" w:eastAsia="方正黑体_GBK"/>
        </w:rPr>
      </w:pPr>
    </w:p>
    <w:p>
      <w:pPr>
        <w:spacing w:line="480" w:lineRule="exact"/>
        <w:rPr>
          <w:rFonts w:hint="eastAsia" w:eastAsia="方正黑体_GBK"/>
        </w:rPr>
      </w:pPr>
      <w:r>
        <w:rPr>
          <w:rFonts w:eastAsia="方正黑体_GBK"/>
        </w:rPr>
        <w:t>附</w:t>
      </w:r>
      <w:r>
        <w:rPr>
          <w:rFonts w:hint="eastAsia" w:eastAsia="方正黑体_GBK"/>
        </w:rPr>
        <w:t>件</w:t>
      </w:r>
      <w:r>
        <w:rPr>
          <w:rFonts w:eastAsia="方正黑体_GBK"/>
        </w:rPr>
        <w:t>2</w:t>
      </w:r>
    </w:p>
    <w:p>
      <w:pPr>
        <w:spacing w:line="480" w:lineRule="exact"/>
        <w:rPr>
          <w:rFonts w:hint="eastAsia" w:eastAsia="方正黑体_GBK"/>
        </w:rPr>
      </w:pPr>
    </w:p>
    <w:p>
      <w:pPr>
        <w:spacing w:line="660" w:lineRule="exact"/>
        <w:jc w:val="center"/>
        <w:rPr>
          <w:rFonts w:hint="eastAsia" w:ascii="方正小标宋_GBK" w:eastAsia="方正小标宋_GBK"/>
          <w:sz w:val="44"/>
          <w:szCs w:val="44"/>
        </w:rPr>
      </w:pPr>
      <w:r>
        <w:rPr>
          <w:rFonts w:hint="eastAsia" w:ascii="方正小标宋_GBK" w:eastAsia="方正小标宋_GBK"/>
          <w:sz w:val="44"/>
          <w:szCs w:val="44"/>
        </w:rPr>
        <w:t>长白朝鲜族自治县生态文明建设示范区重点工程（规划远期）</w:t>
      </w:r>
    </w:p>
    <w:p>
      <w:pPr>
        <w:spacing w:line="480" w:lineRule="exact"/>
        <w:jc w:val="center"/>
        <w:rPr>
          <w:rFonts w:hint="eastAsia" w:ascii="方正小标宋_GBK" w:eastAsia="方正小标宋_GBK"/>
          <w:sz w:val="44"/>
          <w:szCs w:val="44"/>
        </w:rPr>
      </w:pPr>
    </w:p>
    <w:tbl>
      <w:tblPr>
        <w:tblStyle w:val="3"/>
        <w:tblpPr w:leftFromText="180" w:rightFromText="180" w:vertAnchor="text" w:horzAnchor="page" w:tblpX="1116" w:tblpY="260"/>
        <w:tblOverlap w:val="never"/>
        <w:tblW w:w="570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528"/>
        <w:gridCol w:w="6632"/>
        <w:gridCol w:w="1418"/>
        <w:gridCol w:w="2052"/>
        <w:gridCol w:w="14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auto" w:sz="4" w:space="0"/>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一、生态安全体系重点工程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50" w:type="pct"/>
            <w:tcBorders>
              <w:lef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序号</w:t>
            </w:r>
          </w:p>
        </w:tc>
        <w:tc>
          <w:tcPr>
            <w:tcW w:w="854" w:type="pct"/>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项目名称</w:t>
            </w:r>
          </w:p>
        </w:tc>
        <w:tc>
          <w:tcPr>
            <w:tcW w:w="2240" w:type="pct"/>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主要建设内容</w:t>
            </w:r>
          </w:p>
        </w:tc>
        <w:tc>
          <w:tcPr>
            <w:tcW w:w="479" w:type="pct"/>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投资（万元）</w:t>
            </w:r>
          </w:p>
        </w:tc>
        <w:tc>
          <w:tcPr>
            <w:tcW w:w="693" w:type="pct"/>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牵头单位</w:t>
            </w:r>
          </w:p>
        </w:tc>
        <w:tc>
          <w:tcPr>
            <w:tcW w:w="484" w:type="pct"/>
            <w:tcBorders>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建设年限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 w:type="pct"/>
            <w:tcBorders>
              <w:left w:val="single" w:color="auto" w:sz="4" w:space="0"/>
            </w:tcBorders>
            <w:noWrap w:val="0"/>
            <w:vAlign w:val="center"/>
          </w:tcPr>
          <w:p>
            <w:pPr>
              <w:spacing w:line="300" w:lineRule="exact"/>
              <w:jc w:val="center"/>
              <w:rPr>
                <w:rFonts w:hint="eastAsia"/>
                <w:sz w:val="24"/>
                <w:szCs w:val="24"/>
              </w:rPr>
            </w:pPr>
            <w:r>
              <w:rPr>
                <w:rFonts w:hint="eastAsia"/>
                <w:sz w:val="24"/>
                <w:szCs w:val="24"/>
              </w:rPr>
              <w:t>1</w:t>
            </w:r>
          </w:p>
        </w:tc>
        <w:tc>
          <w:tcPr>
            <w:tcW w:w="854" w:type="pct"/>
            <w:noWrap w:val="0"/>
            <w:vAlign w:val="center"/>
          </w:tcPr>
          <w:p>
            <w:pPr>
              <w:spacing w:line="300" w:lineRule="exact"/>
              <w:rPr>
                <w:sz w:val="24"/>
                <w:szCs w:val="24"/>
              </w:rPr>
            </w:pPr>
            <w:r>
              <w:rPr>
                <w:rFonts w:hint="eastAsia"/>
                <w:sz w:val="24"/>
                <w:szCs w:val="24"/>
              </w:rPr>
              <w:t>长白县河道薄弱环节维修加固工程</w:t>
            </w:r>
          </w:p>
        </w:tc>
        <w:tc>
          <w:tcPr>
            <w:tcW w:w="2240" w:type="pct"/>
            <w:noWrap w:val="0"/>
            <w:vAlign w:val="center"/>
          </w:tcPr>
          <w:p>
            <w:pPr>
              <w:spacing w:line="300" w:lineRule="exact"/>
              <w:rPr>
                <w:rFonts w:hint="eastAsia"/>
                <w:sz w:val="24"/>
                <w:szCs w:val="24"/>
              </w:rPr>
            </w:pPr>
            <w:r>
              <w:rPr>
                <w:rFonts w:hint="eastAsia"/>
                <w:sz w:val="24"/>
                <w:szCs w:val="24"/>
              </w:rPr>
              <w:t>主要是对水毁护岸的薄弱环节，提升防洪能力。</w:t>
            </w:r>
          </w:p>
          <w:p>
            <w:pPr>
              <w:spacing w:line="300" w:lineRule="exact"/>
              <w:rPr>
                <w:rFonts w:hint="eastAsia"/>
                <w:sz w:val="24"/>
                <w:szCs w:val="24"/>
              </w:rPr>
            </w:pPr>
            <w:r>
              <w:rPr>
                <w:rFonts w:hint="eastAsia"/>
                <w:sz w:val="24"/>
                <w:szCs w:val="24"/>
              </w:rPr>
              <w:t>（1）恢复倒塌浆砌石550m，铅丝笼护脚1350m；</w:t>
            </w:r>
          </w:p>
          <w:p>
            <w:pPr>
              <w:spacing w:line="300" w:lineRule="exact"/>
              <w:rPr>
                <w:sz w:val="24"/>
                <w:szCs w:val="24"/>
              </w:rPr>
            </w:pPr>
            <w:r>
              <w:rPr>
                <w:rFonts w:hint="eastAsia"/>
                <w:sz w:val="24"/>
                <w:szCs w:val="24"/>
              </w:rPr>
              <w:t>（2）山洪灾害非工程措施提升，增加短临预报站13处，视频测流10个，下游泄洪预警6个，增加14个站点加密。</w:t>
            </w:r>
          </w:p>
        </w:tc>
        <w:tc>
          <w:tcPr>
            <w:tcW w:w="479" w:type="pct"/>
            <w:noWrap w:val="0"/>
            <w:vAlign w:val="center"/>
          </w:tcPr>
          <w:p>
            <w:pPr>
              <w:spacing w:line="300" w:lineRule="exact"/>
              <w:jc w:val="center"/>
              <w:rPr>
                <w:sz w:val="24"/>
                <w:szCs w:val="24"/>
              </w:rPr>
            </w:pPr>
            <w:r>
              <w:rPr>
                <w:rFonts w:hint="eastAsia"/>
                <w:sz w:val="24"/>
                <w:szCs w:val="24"/>
              </w:rPr>
              <w:t>1030</w:t>
            </w:r>
          </w:p>
        </w:tc>
        <w:tc>
          <w:tcPr>
            <w:tcW w:w="693" w:type="pct"/>
            <w:noWrap w:val="0"/>
            <w:vAlign w:val="center"/>
          </w:tcPr>
          <w:p>
            <w:pPr>
              <w:spacing w:line="300" w:lineRule="exact"/>
              <w:rPr>
                <w:rFonts w:hint="eastAsia"/>
                <w:sz w:val="24"/>
                <w:szCs w:val="24"/>
              </w:rPr>
            </w:pPr>
            <w:r>
              <w:rPr>
                <w:rFonts w:hint="eastAsia"/>
                <w:sz w:val="24"/>
                <w:szCs w:val="24"/>
              </w:rPr>
              <w:t>长白朝鲜族自治县水利局</w:t>
            </w:r>
          </w:p>
        </w:tc>
        <w:tc>
          <w:tcPr>
            <w:tcW w:w="484" w:type="pct"/>
            <w:tcBorders>
              <w:right w:val="single" w:color="auto" w:sz="4" w:space="0"/>
            </w:tcBorders>
            <w:noWrap w:val="0"/>
            <w:vAlign w:val="center"/>
          </w:tcPr>
          <w:p>
            <w:pPr>
              <w:spacing w:line="300" w:lineRule="exact"/>
              <w:jc w:val="center"/>
              <w:rPr>
                <w:sz w:val="24"/>
                <w:szCs w:val="24"/>
              </w:rPr>
            </w:pPr>
            <w:r>
              <w:rPr>
                <w:sz w:val="24"/>
                <w:szCs w:val="24"/>
              </w:rPr>
              <w:t>202</w:t>
            </w:r>
            <w:r>
              <w:rPr>
                <w:rFonts w:hint="eastAsia"/>
                <w:sz w:val="24"/>
                <w:szCs w:val="24"/>
              </w:rPr>
              <w:t>5—</w:t>
            </w:r>
            <w:r>
              <w:rPr>
                <w:sz w:val="24"/>
                <w:szCs w:val="24"/>
              </w:rPr>
              <w:t>20</w:t>
            </w:r>
            <w:r>
              <w:rPr>
                <w:rFonts w:hint="eastAsia"/>
                <w:sz w:val="24"/>
                <w:szCs w:val="24"/>
              </w:rPr>
              <w:t>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0" w:type="pct"/>
            <w:tcBorders>
              <w:left w:val="single" w:color="auto" w:sz="4" w:space="0"/>
            </w:tcBorders>
            <w:noWrap w:val="0"/>
            <w:vAlign w:val="center"/>
          </w:tcPr>
          <w:p>
            <w:pPr>
              <w:spacing w:line="300" w:lineRule="exact"/>
              <w:jc w:val="center"/>
              <w:rPr>
                <w:rFonts w:hint="eastAsia"/>
                <w:sz w:val="24"/>
                <w:szCs w:val="24"/>
              </w:rPr>
            </w:pPr>
            <w:r>
              <w:rPr>
                <w:rFonts w:hint="eastAsia"/>
                <w:sz w:val="24"/>
                <w:szCs w:val="24"/>
              </w:rPr>
              <w:t>2</w:t>
            </w:r>
          </w:p>
        </w:tc>
        <w:tc>
          <w:tcPr>
            <w:tcW w:w="854" w:type="pct"/>
            <w:noWrap w:val="0"/>
            <w:vAlign w:val="center"/>
          </w:tcPr>
          <w:p>
            <w:pPr>
              <w:spacing w:line="300" w:lineRule="exact"/>
              <w:rPr>
                <w:sz w:val="24"/>
                <w:szCs w:val="24"/>
              </w:rPr>
            </w:pPr>
            <w:r>
              <w:rPr>
                <w:sz w:val="24"/>
                <w:szCs w:val="24"/>
              </w:rPr>
              <w:t>饮水水源地环境保护工程项目</w:t>
            </w:r>
          </w:p>
        </w:tc>
        <w:tc>
          <w:tcPr>
            <w:tcW w:w="2240" w:type="pct"/>
            <w:noWrap w:val="0"/>
            <w:vAlign w:val="center"/>
          </w:tcPr>
          <w:p>
            <w:pPr>
              <w:spacing w:line="300" w:lineRule="exact"/>
              <w:rPr>
                <w:sz w:val="24"/>
                <w:szCs w:val="24"/>
              </w:rPr>
            </w:pPr>
            <w:r>
              <w:rPr>
                <w:sz w:val="24"/>
                <w:szCs w:val="24"/>
              </w:rPr>
              <w:t>在集中式水源地和分散式水源地建设围栏26474m，设置标识牌59个，警示牌125个。</w:t>
            </w:r>
          </w:p>
        </w:tc>
        <w:tc>
          <w:tcPr>
            <w:tcW w:w="479" w:type="pct"/>
            <w:noWrap w:val="0"/>
            <w:vAlign w:val="center"/>
          </w:tcPr>
          <w:p>
            <w:pPr>
              <w:spacing w:line="300" w:lineRule="exact"/>
              <w:jc w:val="center"/>
              <w:rPr>
                <w:sz w:val="24"/>
                <w:szCs w:val="24"/>
              </w:rPr>
            </w:pPr>
            <w:r>
              <w:rPr>
                <w:sz w:val="24"/>
                <w:szCs w:val="24"/>
              </w:rPr>
              <w:t>991</w:t>
            </w:r>
          </w:p>
        </w:tc>
        <w:tc>
          <w:tcPr>
            <w:tcW w:w="693" w:type="pct"/>
            <w:noWrap w:val="0"/>
            <w:vAlign w:val="center"/>
          </w:tcPr>
          <w:p>
            <w:pPr>
              <w:spacing w:line="300" w:lineRule="exact"/>
              <w:rPr>
                <w:sz w:val="24"/>
                <w:szCs w:val="24"/>
              </w:rPr>
            </w:pPr>
            <w:r>
              <w:rPr>
                <w:rFonts w:hint="eastAsia"/>
                <w:sz w:val="24"/>
                <w:szCs w:val="24"/>
              </w:rPr>
              <w:t>长白朝鲜族自治县水利局</w:t>
            </w:r>
          </w:p>
        </w:tc>
        <w:tc>
          <w:tcPr>
            <w:tcW w:w="484" w:type="pct"/>
            <w:tcBorders>
              <w:right w:val="single" w:color="auto" w:sz="4" w:space="0"/>
            </w:tcBorders>
            <w:noWrap w:val="0"/>
            <w:vAlign w:val="center"/>
          </w:tcPr>
          <w:p>
            <w:pPr>
              <w:spacing w:line="300" w:lineRule="exact"/>
              <w:jc w:val="center"/>
              <w:rPr>
                <w:sz w:val="24"/>
                <w:szCs w:val="24"/>
              </w:rPr>
            </w:pPr>
            <w:r>
              <w:rPr>
                <w:sz w:val="24"/>
                <w:szCs w:val="24"/>
              </w:rPr>
              <w:t>202</w:t>
            </w:r>
            <w:r>
              <w:rPr>
                <w:rFonts w:hint="eastAsia"/>
                <w:sz w:val="24"/>
                <w:szCs w:val="24"/>
              </w:rPr>
              <w:t>8—</w:t>
            </w:r>
            <w:r>
              <w:rPr>
                <w:sz w:val="24"/>
                <w:szCs w:val="24"/>
              </w:rPr>
              <w:t>2030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50" w:type="pct"/>
            <w:tcBorders>
              <w:left w:val="single" w:color="auto" w:sz="4" w:space="0"/>
            </w:tcBorders>
            <w:noWrap w:val="0"/>
            <w:vAlign w:val="center"/>
          </w:tcPr>
          <w:p>
            <w:pPr>
              <w:spacing w:line="300" w:lineRule="exact"/>
              <w:jc w:val="center"/>
              <w:rPr>
                <w:rFonts w:hint="eastAsia"/>
                <w:sz w:val="24"/>
                <w:szCs w:val="24"/>
              </w:rPr>
            </w:pPr>
            <w:r>
              <w:rPr>
                <w:rFonts w:hint="eastAsia"/>
                <w:sz w:val="24"/>
                <w:szCs w:val="24"/>
              </w:rPr>
              <w:t>3</w:t>
            </w:r>
          </w:p>
        </w:tc>
        <w:tc>
          <w:tcPr>
            <w:tcW w:w="854" w:type="pct"/>
            <w:noWrap w:val="0"/>
            <w:vAlign w:val="center"/>
          </w:tcPr>
          <w:p>
            <w:pPr>
              <w:spacing w:line="300" w:lineRule="exact"/>
              <w:rPr>
                <w:sz w:val="24"/>
                <w:szCs w:val="24"/>
              </w:rPr>
            </w:pPr>
            <w:r>
              <w:rPr>
                <w:sz w:val="24"/>
                <w:szCs w:val="24"/>
              </w:rPr>
              <w:t>宝泉山镇上二股流村污水处理建设项目</w:t>
            </w:r>
          </w:p>
        </w:tc>
        <w:tc>
          <w:tcPr>
            <w:tcW w:w="2240" w:type="pct"/>
            <w:noWrap w:val="0"/>
            <w:vAlign w:val="center"/>
          </w:tcPr>
          <w:p>
            <w:pPr>
              <w:spacing w:line="300" w:lineRule="exact"/>
              <w:rPr>
                <w:sz w:val="24"/>
                <w:szCs w:val="24"/>
              </w:rPr>
            </w:pPr>
            <w:r>
              <w:rPr>
                <w:sz w:val="24"/>
                <w:szCs w:val="24"/>
              </w:rPr>
              <w:t>铺设DN400排污管道8000延长米，小型污水处理站4处，总计800m</w:t>
            </w:r>
            <w:r>
              <w:rPr>
                <w:rFonts w:hint="eastAsia"/>
                <w:sz w:val="24"/>
                <w:szCs w:val="24"/>
                <w:vertAlign w:val="superscript"/>
              </w:rPr>
              <w:t>2</w:t>
            </w:r>
            <w:r>
              <w:rPr>
                <w:rFonts w:hint="eastAsia"/>
                <w:sz w:val="24"/>
                <w:szCs w:val="24"/>
              </w:rPr>
              <w:t>（</w:t>
            </w:r>
            <w:r>
              <w:rPr>
                <w:sz w:val="24"/>
                <w:szCs w:val="24"/>
              </w:rPr>
              <w:t>含一体式污水处理设备4套）</w:t>
            </w:r>
          </w:p>
        </w:tc>
        <w:tc>
          <w:tcPr>
            <w:tcW w:w="479" w:type="pct"/>
            <w:noWrap w:val="0"/>
            <w:vAlign w:val="center"/>
          </w:tcPr>
          <w:p>
            <w:pPr>
              <w:spacing w:line="300" w:lineRule="exact"/>
              <w:jc w:val="center"/>
              <w:rPr>
                <w:sz w:val="24"/>
                <w:szCs w:val="24"/>
              </w:rPr>
            </w:pPr>
            <w:r>
              <w:rPr>
                <w:sz w:val="24"/>
                <w:szCs w:val="24"/>
              </w:rPr>
              <w:t>2100</w:t>
            </w:r>
          </w:p>
        </w:tc>
        <w:tc>
          <w:tcPr>
            <w:tcW w:w="693" w:type="pct"/>
            <w:noWrap w:val="0"/>
            <w:vAlign w:val="center"/>
          </w:tcPr>
          <w:p>
            <w:pPr>
              <w:spacing w:line="300" w:lineRule="exact"/>
              <w:rPr>
                <w:sz w:val="24"/>
                <w:szCs w:val="24"/>
              </w:rPr>
            </w:pPr>
            <w:r>
              <w:rPr>
                <w:rFonts w:hint="eastAsia"/>
                <w:sz w:val="24"/>
                <w:szCs w:val="24"/>
              </w:rPr>
              <w:t>长白朝鲜族自治县农业农村局</w:t>
            </w:r>
          </w:p>
        </w:tc>
        <w:tc>
          <w:tcPr>
            <w:tcW w:w="484" w:type="pct"/>
            <w:tcBorders>
              <w:right w:val="single" w:color="auto" w:sz="4" w:space="0"/>
            </w:tcBorders>
            <w:noWrap w:val="0"/>
            <w:vAlign w:val="center"/>
          </w:tcPr>
          <w:p>
            <w:pPr>
              <w:spacing w:line="300" w:lineRule="exact"/>
              <w:jc w:val="center"/>
              <w:rPr>
                <w:sz w:val="24"/>
                <w:szCs w:val="24"/>
              </w:rPr>
            </w:pPr>
            <w:r>
              <w:rPr>
                <w:sz w:val="24"/>
                <w:szCs w:val="24"/>
              </w:rPr>
              <w:t>202</w:t>
            </w:r>
            <w:r>
              <w:rPr>
                <w:rFonts w:hint="eastAsia"/>
                <w:sz w:val="24"/>
                <w:szCs w:val="24"/>
              </w:rPr>
              <w:t>8—</w:t>
            </w:r>
            <w:r>
              <w:rPr>
                <w:sz w:val="24"/>
                <w:szCs w:val="24"/>
              </w:rPr>
              <w:t>2030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50" w:type="pct"/>
            <w:tcBorders>
              <w:left w:val="single" w:color="auto" w:sz="4" w:space="0"/>
            </w:tcBorders>
            <w:noWrap w:val="0"/>
            <w:vAlign w:val="center"/>
          </w:tcPr>
          <w:p>
            <w:pPr>
              <w:spacing w:line="300" w:lineRule="exact"/>
              <w:jc w:val="center"/>
              <w:rPr>
                <w:rFonts w:hint="eastAsia"/>
                <w:sz w:val="24"/>
                <w:szCs w:val="24"/>
              </w:rPr>
            </w:pPr>
            <w:r>
              <w:rPr>
                <w:rFonts w:hint="eastAsia"/>
                <w:sz w:val="24"/>
                <w:szCs w:val="24"/>
              </w:rPr>
              <w:t>4</w:t>
            </w:r>
          </w:p>
        </w:tc>
        <w:tc>
          <w:tcPr>
            <w:tcW w:w="854" w:type="pct"/>
            <w:noWrap w:val="0"/>
            <w:vAlign w:val="center"/>
          </w:tcPr>
          <w:p>
            <w:pPr>
              <w:spacing w:line="300" w:lineRule="exact"/>
              <w:rPr>
                <w:rFonts w:hint="eastAsia"/>
                <w:sz w:val="24"/>
                <w:szCs w:val="24"/>
              </w:rPr>
            </w:pPr>
            <w:r>
              <w:rPr>
                <w:rFonts w:hint="eastAsia"/>
                <w:sz w:val="24"/>
                <w:szCs w:val="24"/>
              </w:rPr>
              <w:t>长白县八道沟镇地质灾害防治及避险搬迁综合治理工程项目</w:t>
            </w:r>
          </w:p>
        </w:tc>
        <w:tc>
          <w:tcPr>
            <w:tcW w:w="2240" w:type="pct"/>
            <w:noWrap w:val="0"/>
            <w:vAlign w:val="center"/>
          </w:tcPr>
          <w:p>
            <w:pPr>
              <w:spacing w:line="300" w:lineRule="exact"/>
              <w:rPr>
                <w:sz w:val="24"/>
                <w:szCs w:val="24"/>
              </w:rPr>
            </w:pPr>
            <w:r>
              <w:rPr>
                <w:rFonts w:hint="eastAsia"/>
                <w:sz w:val="24"/>
                <w:szCs w:val="24"/>
              </w:rPr>
              <w:t>对八道沟镇崩塌地质灾害进行治理，项目清理、外运危岩体41450.25m</w:t>
            </w:r>
            <w:r>
              <w:rPr>
                <w:rFonts w:eastAsia="宋体"/>
                <w:sz w:val="24"/>
                <w:szCs w:val="24"/>
                <w:vertAlign w:val="superscript"/>
              </w:rPr>
              <w:t>3</w:t>
            </w:r>
            <w:r>
              <w:rPr>
                <w:rFonts w:hint="eastAsia" w:ascii="方正仿宋_GBK" w:hAnsi="方正仿宋_GBK" w:cs="方正仿宋_GBK"/>
                <w:sz w:val="24"/>
                <w:szCs w:val="24"/>
              </w:rPr>
              <w:t>，安装锚杆</w:t>
            </w:r>
            <w:r>
              <w:rPr>
                <w:rFonts w:hint="eastAsia"/>
                <w:sz w:val="24"/>
                <w:szCs w:val="24"/>
              </w:rPr>
              <w:t>4913根，安装柔性主动防护网99480.60m</w:t>
            </w:r>
            <w:r>
              <w:rPr>
                <w:rFonts w:hint="eastAsia"/>
                <w:sz w:val="24"/>
                <w:szCs w:val="24"/>
                <w:vertAlign w:val="superscript"/>
              </w:rPr>
              <w:t>2</w:t>
            </w:r>
            <w:r>
              <w:rPr>
                <w:rFonts w:hint="eastAsia"/>
                <w:sz w:val="24"/>
                <w:szCs w:val="24"/>
              </w:rPr>
              <w:t>。新建避险安置房3栋，总占地面积6922m</w:t>
            </w:r>
            <w:r>
              <w:rPr>
                <w:rFonts w:hint="eastAsia"/>
                <w:sz w:val="24"/>
                <w:szCs w:val="24"/>
                <w:vertAlign w:val="superscript"/>
              </w:rPr>
              <w:t>2</w:t>
            </w:r>
            <w:r>
              <w:rPr>
                <w:rFonts w:hint="eastAsia"/>
                <w:sz w:val="24"/>
                <w:szCs w:val="24"/>
              </w:rPr>
              <w:t>，总建筑面积14976m</w:t>
            </w:r>
            <w:r>
              <w:rPr>
                <w:rFonts w:hint="eastAsia"/>
                <w:sz w:val="24"/>
                <w:szCs w:val="24"/>
                <w:vertAlign w:val="superscript"/>
              </w:rPr>
              <w:t>2</w:t>
            </w:r>
            <w:r>
              <w:rPr>
                <w:rFonts w:hint="eastAsia"/>
                <w:sz w:val="24"/>
                <w:szCs w:val="24"/>
              </w:rPr>
              <w:t>，配套建设附属设施。</w:t>
            </w:r>
          </w:p>
        </w:tc>
        <w:tc>
          <w:tcPr>
            <w:tcW w:w="479" w:type="pct"/>
            <w:noWrap w:val="0"/>
            <w:vAlign w:val="center"/>
          </w:tcPr>
          <w:p>
            <w:pPr>
              <w:spacing w:line="300" w:lineRule="exact"/>
              <w:jc w:val="center"/>
              <w:rPr>
                <w:sz w:val="24"/>
                <w:szCs w:val="24"/>
              </w:rPr>
            </w:pPr>
            <w:r>
              <w:rPr>
                <w:rFonts w:hint="eastAsia"/>
                <w:sz w:val="24"/>
                <w:szCs w:val="24"/>
              </w:rPr>
              <w:t>7000</w:t>
            </w:r>
          </w:p>
        </w:tc>
        <w:tc>
          <w:tcPr>
            <w:tcW w:w="693" w:type="pct"/>
            <w:noWrap w:val="0"/>
            <w:vAlign w:val="center"/>
          </w:tcPr>
          <w:p>
            <w:pPr>
              <w:spacing w:line="300" w:lineRule="exact"/>
              <w:rPr>
                <w:rFonts w:hint="eastAsia"/>
                <w:sz w:val="24"/>
                <w:szCs w:val="24"/>
              </w:rPr>
            </w:pPr>
            <w:r>
              <w:rPr>
                <w:rFonts w:hint="eastAsia"/>
                <w:sz w:val="24"/>
                <w:szCs w:val="24"/>
              </w:rPr>
              <w:t>八道沟镇人民政府</w:t>
            </w:r>
          </w:p>
        </w:tc>
        <w:tc>
          <w:tcPr>
            <w:tcW w:w="484" w:type="pct"/>
            <w:tcBorders>
              <w:right w:val="single" w:color="auto" w:sz="4" w:space="0"/>
            </w:tcBorders>
            <w:noWrap w:val="0"/>
            <w:vAlign w:val="center"/>
          </w:tcPr>
          <w:p>
            <w:pPr>
              <w:spacing w:line="300" w:lineRule="exact"/>
              <w:jc w:val="center"/>
              <w:rPr>
                <w:sz w:val="24"/>
                <w:szCs w:val="24"/>
                <w:highlight w:val="yellow"/>
              </w:rPr>
            </w:pPr>
            <w:r>
              <w:rPr>
                <w:rFonts w:hint="eastAsia"/>
                <w:sz w:val="24"/>
                <w:szCs w:val="24"/>
              </w:rPr>
              <w:t>2025</w:t>
            </w:r>
            <w:r>
              <w:rPr>
                <w:rFonts w:hint="eastAsia"/>
                <w:sz w:val="21"/>
                <w:szCs w:val="21"/>
              </w:rPr>
              <w:t>—</w:t>
            </w:r>
            <w:r>
              <w:rPr>
                <w:rFonts w:hint="eastAsia"/>
                <w:sz w:val="24"/>
                <w:szCs w:val="24"/>
              </w:rPr>
              <w:t>2027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0" w:type="pct"/>
            <w:tcBorders>
              <w:left w:val="single" w:color="auto" w:sz="4" w:space="0"/>
            </w:tcBorders>
            <w:noWrap w:val="0"/>
            <w:vAlign w:val="center"/>
          </w:tcPr>
          <w:p>
            <w:pPr>
              <w:spacing w:line="300" w:lineRule="exact"/>
              <w:jc w:val="center"/>
              <w:rPr>
                <w:rFonts w:hint="eastAsia"/>
                <w:sz w:val="24"/>
                <w:szCs w:val="24"/>
              </w:rPr>
            </w:pPr>
            <w:r>
              <w:rPr>
                <w:rFonts w:hint="eastAsia"/>
                <w:sz w:val="24"/>
                <w:szCs w:val="24"/>
              </w:rPr>
              <w:t>5</w:t>
            </w:r>
          </w:p>
        </w:tc>
        <w:tc>
          <w:tcPr>
            <w:tcW w:w="854" w:type="pct"/>
            <w:noWrap w:val="0"/>
            <w:vAlign w:val="center"/>
          </w:tcPr>
          <w:p>
            <w:pPr>
              <w:spacing w:line="300" w:lineRule="exact"/>
              <w:rPr>
                <w:sz w:val="24"/>
                <w:szCs w:val="24"/>
              </w:rPr>
            </w:pPr>
            <w:r>
              <w:rPr>
                <w:rFonts w:hint="eastAsia"/>
                <w:sz w:val="24"/>
                <w:szCs w:val="24"/>
              </w:rPr>
              <w:t>长白县森林草原火灾高危区综合治理建设项目</w:t>
            </w:r>
          </w:p>
        </w:tc>
        <w:tc>
          <w:tcPr>
            <w:tcW w:w="2240" w:type="pct"/>
            <w:noWrap w:val="0"/>
            <w:vAlign w:val="center"/>
          </w:tcPr>
          <w:p>
            <w:pPr>
              <w:spacing w:line="300" w:lineRule="exact"/>
              <w:rPr>
                <w:sz w:val="24"/>
                <w:szCs w:val="24"/>
              </w:rPr>
            </w:pPr>
            <w:r>
              <w:rPr>
                <w:rFonts w:hint="eastAsia"/>
                <w:sz w:val="24"/>
                <w:szCs w:val="24"/>
              </w:rPr>
              <w:t>1﹒基础设施建设：营房建设3处2550m</w:t>
            </w:r>
            <w:r>
              <w:rPr>
                <w:rFonts w:hint="eastAsia"/>
                <w:sz w:val="24"/>
                <w:szCs w:val="24"/>
                <w:vertAlign w:val="superscript"/>
              </w:rPr>
              <w:t>2</w:t>
            </w:r>
            <w:r>
              <w:rPr>
                <w:rFonts w:hint="eastAsia"/>
                <w:sz w:val="24"/>
                <w:szCs w:val="24"/>
              </w:rPr>
              <w:t>，物质库3处300m</w:t>
            </w:r>
            <w:r>
              <w:rPr>
                <w:rFonts w:hint="eastAsia"/>
                <w:sz w:val="24"/>
                <w:szCs w:val="24"/>
                <w:vertAlign w:val="superscript"/>
              </w:rPr>
              <w:t>2</w:t>
            </w:r>
            <w:r>
              <w:rPr>
                <w:rFonts w:hint="eastAsia"/>
                <w:sz w:val="24"/>
                <w:szCs w:val="24"/>
              </w:rPr>
              <w:t>，消防水池及泵房324m</w:t>
            </w:r>
            <w:r>
              <w:rPr>
                <w:rFonts w:hint="eastAsia"/>
                <w:sz w:val="24"/>
                <w:szCs w:val="24"/>
                <w:vertAlign w:val="superscript"/>
              </w:rPr>
              <w:t>2</w:t>
            </w:r>
            <w:r>
              <w:rPr>
                <w:rFonts w:hint="eastAsia"/>
                <w:sz w:val="24"/>
                <w:szCs w:val="24"/>
              </w:rPr>
              <w:t>；2﹒扑火能力建设：防火车辆9台；3. 通讯器材51（台、套）；4﹒基本灭火机具装备232（台、把）；5﹒野外生存用品504（个、套）；6﹒队员基本防护装备2160（顶、套、个、双、副）；7﹒队员基本生活用品700（套、件、双）；8﹒智慧防火一体化建设39（套、台）。</w:t>
            </w:r>
          </w:p>
        </w:tc>
        <w:tc>
          <w:tcPr>
            <w:tcW w:w="479" w:type="pct"/>
            <w:noWrap w:val="0"/>
            <w:vAlign w:val="center"/>
          </w:tcPr>
          <w:p>
            <w:pPr>
              <w:spacing w:line="300" w:lineRule="exact"/>
              <w:jc w:val="center"/>
              <w:rPr>
                <w:sz w:val="24"/>
                <w:szCs w:val="24"/>
              </w:rPr>
            </w:pPr>
            <w:r>
              <w:rPr>
                <w:rFonts w:hint="eastAsia"/>
                <w:sz w:val="24"/>
                <w:szCs w:val="24"/>
              </w:rPr>
              <w:t>3595.21</w:t>
            </w:r>
          </w:p>
        </w:tc>
        <w:tc>
          <w:tcPr>
            <w:tcW w:w="693" w:type="pct"/>
            <w:noWrap w:val="0"/>
            <w:vAlign w:val="center"/>
          </w:tcPr>
          <w:p>
            <w:pPr>
              <w:spacing w:line="300" w:lineRule="exact"/>
              <w:rPr>
                <w:rFonts w:hint="eastAsia"/>
                <w:sz w:val="24"/>
                <w:szCs w:val="24"/>
              </w:rPr>
            </w:pPr>
            <w:r>
              <w:rPr>
                <w:rFonts w:hint="eastAsia"/>
                <w:sz w:val="24"/>
                <w:szCs w:val="24"/>
              </w:rPr>
              <w:t>长白朝鲜族自治县林业局</w:t>
            </w:r>
          </w:p>
        </w:tc>
        <w:tc>
          <w:tcPr>
            <w:tcW w:w="484" w:type="pct"/>
            <w:tcBorders>
              <w:right w:val="single" w:color="auto" w:sz="4" w:space="0"/>
            </w:tcBorders>
            <w:noWrap w:val="0"/>
            <w:vAlign w:val="center"/>
          </w:tcPr>
          <w:p>
            <w:pPr>
              <w:spacing w:line="300" w:lineRule="exact"/>
              <w:jc w:val="center"/>
              <w:rPr>
                <w:sz w:val="24"/>
                <w:szCs w:val="24"/>
              </w:rPr>
            </w:pPr>
            <w:r>
              <w:rPr>
                <w:rFonts w:hint="eastAsia"/>
                <w:sz w:val="24"/>
                <w:szCs w:val="24"/>
              </w:rPr>
              <w:t>2025</w:t>
            </w:r>
            <w:r>
              <w:rPr>
                <w:rFonts w:hint="eastAsia"/>
                <w:sz w:val="21"/>
                <w:szCs w:val="21"/>
              </w:rPr>
              <w:t>—</w:t>
            </w:r>
            <w:r>
              <w:rPr>
                <w:rFonts w:hint="eastAsia"/>
                <w:sz w:val="24"/>
                <w:szCs w:val="24"/>
              </w:rPr>
              <w:t>2027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000" w:type="pct"/>
            <w:gridSpan w:val="6"/>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二、生态经济体系重点工程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50" w:type="pct"/>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序号</w:t>
            </w:r>
          </w:p>
        </w:tc>
        <w:tc>
          <w:tcPr>
            <w:tcW w:w="854" w:type="pct"/>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项目名称</w:t>
            </w:r>
          </w:p>
        </w:tc>
        <w:tc>
          <w:tcPr>
            <w:tcW w:w="2240" w:type="pct"/>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主要建设内容</w:t>
            </w:r>
          </w:p>
        </w:tc>
        <w:tc>
          <w:tcPr>
            <w:tcW w:w="479" w:type="pct"/>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投资（万元）</w:t>
            </w:r>
          </w:p>
        </w:tc>
        <w:tc>
          <w:tcPr>
            <w:tcW w:w="693" w:type="pct"/>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牵头单位</w:t>
            </w:r>
          </w:p>
        </w:tc>
        <w:tc>
          <w:tcPr>
            <w:tcW w:w="484" w:type="pct"/>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建设年限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50" w:type="pct"/>
            <w:tcBorders>
              <w:left w:val="single" w:color="auto" w:sz="4" w:space="0"/>
            </w:tcBorders>
            <w:noWrap w:val="0"/>
            <w:vAlign w:val="center"/>
          </w:tcPr>
          <w:p>
            <w:pPr>
              <w:spacing w:line="300" w:lineRule="exact"/>
              <w:jc w:val="center"/>
              <w:rPr>
                <w:sz w:val="24"/>
                <w:szCs w:val="24"/>
              </w:rPr>
            </w:pPr>
            <w:r>
              <w:rPr>
                <w:rFonts w:hint="eastAsia"/>
                <w:sz w:val="24"/>
                <w:szCs w:val="24"/>
              </w:rPr>
              <w:t>1</w:t>
            </w:r>
          </w:p>
        </w:tc>
        <w:tc>
          <w:tcPr>
            <w:tcW w:w="854" w:type="pct"/>
            <w:noWrap w:val="0"/>
            <w:vAlign w:val="center"/>
          </w:tcPr>
          <w:p>
            <w:pPr>
              <w:spacing w:line="300" w:lineRule="exact"/>
              <w:rPr>
                <w:sz w:val="24"/>
                <w:szCs w:val="24"/>
              </w:rPr>
            </w:pPr>
            <w:r>
              <w:rPr>
                <w:sz w:val="24"/>
                <w:szCs w:val="24"/>
              </w:rPr>
              <w:t>长白县新能源汽车充电桩项目</w:t>
            </w:r>
          </w:p>
        </w:tc>
        <w:tc>
          <w:tcPr>
            <w:tcW w:w="2240" w:type="pct"/>
            <w:noWrap w:val="0"/>
            <w:vAlign w:val="center"/>
          </w:tcPr>
          <w:p>
            <w:pPr>
              <w:spacing w:line="300" w:lineRule="exact"/>
              <w:rPr>
                <w:sz w:val="24"/>
                <w:szCs w:val="24"/>
              </w:rPr>
            </w:pPr>
            <w:r>
              <w:rPr>
                <w:sz w:val="24"/>
                <w:szCs w:val="24"/>
              </w:rPr>
              <w:t>各机关单位、公共停车场、公园广场、宾馆、居民小区及八道沟镇、十二道沟镇、十四道沟镇、马鹿沟镇共安装汽车充电桩79组；充电桩为直流充电120KW双枪一体机，配套建设变配电设施等。</w:t>
            </w:r>
          </w:p>
        </w:tc>
        <w:tc>
          <w:tcPr>
            <w:tcW w:w="479" w:type="pct"/>
            <w:noWrap w:val="0"/>
            <w:vAlign w:val="center"/>
          </w:tcPr>
          <w:p>
            <w:pPr>
              <w:spacing w:line="300" w:lineRule="exact"/>
              <w:jc w:val="center"/>
              <w:rPr>
                <w:sz w:val="24"/>
                <w:szCs w:val="24"/>
              </w:rPr>
            </w:pPr>
            <w:r>
              <w:rPr>
                <w:rFonts w:hint="eastAsia"/>
                <w:sz w:val="24"/>
                <w:szCs w:val="24"/>
              </w:rPr>
              <w:t>3278</w:t>
            </w:r>
          </w:p>
        </w:tc>
        <w:tc>
          <w:tcPr>
            <w:tcW w:w="693" w:type="pct"/>
            <w:noWrap w:val="0"/>
            <w:vAlign w:val="center"/>
          </w:tcPr>
          <w:p>
            <w:pPr>
              <w:spacing w:line="300" w:lineRule="exact"/>
              <w:rPr>
                <w:sz w:val="24"/>
                <w:szCs w:val="24"/>
              </w:rPr>
            </w:pPr>
            <w:r>
              <w:rPr>
                <w:rFonts w:hint="eastAsia"/>
                <w:sz w:val="24"/>
                <w:szCs w:val="24"/>
              </w:rPr>
              <w:t>长白朝鲜族自治县住房和城乡建设局</w:t>
            </w:r>
          </w:p>
        </w:tc>
        <w:tc>
          <w:tcPr>
            <w:tcW w:w="484" w:type="pct"/>
            <w:tcBorders>
              <w:right w:val="single" w:color="auto" w:sz="4" w:space="0"/>
            </w:tcBorders>
            <w:noWrap w:val="0"/>
            <w:vAlign w:val="center"/>
          </w:tcPr>
          <w:p>
            <w:pPr>
              <w:spacing w:line="300" w:lineRule="exact"/>
              <w:jc w:val="center"/>
              <w:rPr>
                <w:sz w:val="24"/>
                <w:szCs w:val="24"/>
              </w:rPr>
            </w:pPr>
            <w:r>
              <w:rPr>
                <w:sz w:val="24"/>
                <w:szCs w:val="24"/>
              </w:rPr>
              <w:t>202</w:t>
            </w:r>
            <w:r>
              <w:rPr>
                <w:rFonts w:hint="eastAsia"/>
                <w:sz w:val="24"/>
                <w:szCs w:val="24"/>
              </w:rPr>
              <w:t>5—</w:t>
            </w:r>
            <w:r>
              <w:rPr>
                <w:sz w:val="24"/>
                <w:szCs w:val="24"/>
              </w:rPr>
              <w:t>20</w:t>
            </w:r>
            <w:r>
              <w:rPr>
                <w:rFonts w:hint="eastAsia"/>
                <w:sz w:val="24"/>
                <w:szCs w:val="24"/>
              </w:rPr>
              <w:t>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 w:type="pct"/>
            <w:tcBorders>
              <w:left w:val="single" w:color="auto" w:sz="4" w:space="0"/>
            </w:tcBorders>
            <w:noWrap w:val="0"/>
            <w:vAlign w:val="center"/>
          </w:tcPr>
          <w:p>
            <w:pPr>
              <w:spacing w:line="300" w:lineRule="exact"/>
              <w:jc w:val="center"/>
              <w:rPr>
                <w:sz w:val="24"/>
                <w:szCs w:val="24"/>
              </w:rPr>
            </w:pPr>
            <w:r>
              <w:rPr>
                <w:rFonts w:hint="eastAsia"/>
                <w:sz w:val="24"/>
                <w:szCs w:val="24"/>
              </w:rPr>
              <w:t>2</w:t>
            </w:r>
          </w:p>
        </w:tc>
        <w:tc>
          <w:tcPr>
            <w:tcW w:w="854" w:type="pct"/>
            <w:noWrap w:val="0"/>
            <w:vAlign w:val="center"/>
          </w:tcPr>
          <w:p>
            <w:pPr>
              <w:spacing w:line="300" w:lineRule="exact"/>
              <w:rPr>
                <w:sz w:val="24"/>
                <w:szCs w:val="24"/>
              </w:rPr>
            </w:pPr>
            <w:r>
              <w:rPr>
                <w:sz w:val="24"/>
                <w:szCs w:val="24"/>
              </w:rPr>
              <w:t>长白科技创新产业园区基础设施建设项目</w:t>
            </w:r>
          </w:p>
        </w:tc>
        <w:tc>
          <w:tcPr>
            <w:tcW w:w="2240" w:type="pct"/>
            <w:noWrap w:val="0"/>
            <w:vAlign w:val="center"/>
          </w:tcPr>
          <w:p>
            <w:pPr>
              <w:spacing w:line="300" w:lineRule="exact"/>
              <w:rPr>
                <w:sz w:val="24"/>
                <w:szCs w:val="24"/>
              </w:rPr>
            </w:pPr>
            <w:r>
              <w:rPr>
                <w:sz w:val="24"/>
                <w:szCs w:val="24"/>
              </w:rPr>
              <w:t>新建道路7800</w:t>
            </w:r>
            <w:r>
              <w:rPr>
                <w:rFonts w:hint="eastAsia"/>
                <w:sz w:val="24"/>
                <w:szCs w:val="24"/>
              </w:rPr>
              <w:t>m</w:t>
            </w:r>
            <w:r>
              <w:rPr>
                <w:rFonts w:hint="eastAsia"/>
                <w:sz w:val="24"/>
                <w:szCs w:val="24"/>
                <w:vertAlign w:val="superscript"/>
              </w:rPr>
              <w:t>2</w:t>
            </w:r>
            <w:r>
              <w:rPr>
                <w:sz w:val="24"/>
                <w:szCs w:val="24"/>
              </w:rPr>
              <w:t>，透水铺装停车场4781</w:t>
            </w:r>
            <w:r>
              <w:rPr>
                <w:rFonts w:hint="eastAsia"/>
                <w:sz w:val="24"/>
                <w:szCs w:val="24"/>
              </w:rPr>
              <w:t>m</w:t>
            </w:r>
            <w:r>
              <w:rPr>
                <w:rFonts w:hint="eastAsia"/>
                <w:sz w:val="24"/>
                <w:szCs w:val="24"/>
                <w:vertAlign w:val="superscript"/>
              </w:rPr>
              <w:t>2</w:t>
            </w:r>
            <w:r>
              <w:rPr>
                <w:sz w:val="24"/>
                <w:szCs w:val="24"/>
              </w:rPr>
              <w:t>，透水铺装人行道3425</w:t>
            </w:r>
            <w:r>
              <w:rPr>
                <w:rFonts w:hint="eastAsia"/>
                <w:sz w:val="24"/>
                <w:szCs w:val="24"/>
              </w:rPr>
              <w:t>m</w:t>
            </w:r>
            <w:r>
              <w:rPr>
                <w:rFonts w:hint="eastAsia"/>
                <w:sz w:val="24"/>
                <w:szCs w:val="24"/>
                <w:vertAlign w:val="superscript"/>
              </w:rPr>
              <w:t>2</w:t>
            </w:r>
            <w:r>
              <w:rPr>
                <w:sz w:val="24"/>
                <w:szCs w:val="24"/>
              </w:rPr>
              <w:t>，下沉式绿地4050</w:t>
            </w:r>
            <w:r>
              <w:rPr>
                <w:rFonts w:hint="eastAsia"/>
                <w:sz w:val="24"/>
                <w:szCs w:val="24"/>
              </w:rPr>
              <w:t>m</w:t>
            </w:r>
            <w:r>
              <w:rPr>
                <w:rFonts w:hint="eastAsia"/>
                <w:sz w:val="24"/>
                <w:szCs w:val="24"/>
                <w:vertAlign w:val="superscript"/>
              </w:rPr>
              <w:t>2</w:t>
            </w:r>
            <w:r>
              <w:rPr>
                <w:sz w:val="24"/>
                <w:szCs w:val="24"/>
              </w:rPr>
              <w:t>，生活给水管线1000m，生产给水管线1000m，消防给水管线1000m，雨水管线1000m，污水管线1000m，供暖管线1000m，电力外线1000m等基础设施；新建双创工场2栋、建筑面17928</w:t>
            </w:r>
            <w:r>
              <w:rPr>
                <w:rFonts w:hint="eastAsia"/>
                <w:sz w:val="24"/>
                <w:szCs w:val="24"/>
              </w:rPr>
              <w:t>m</w:t>
            </w:r>
            <w:r>
              <w:rPr>
                <w:rFonts w:hint="eastAsia"/>
                <w:sz w:val="24"/>
                <w:szCs w:val="24"/>
                <w:vertAlign w:val="superscript"/>
              </w:rPr>
              <w:t>2</w:t>
            </w:r>
            <w:r>
              <w:rPr>
                <w:sz w:val="24"/>
                <w:szCs w:val="24"/>
              </w:rPr>
              <w:t>，加工车间8栋、建筑面积40200</w:t>
            </w:r>
            <w:r>
              <w:rPr>
                <w:rFonts w:hint="eastAsia"/>
                <w:sz w:val="24"/>
                <w:szCs w:val="24"/>
              </w:rPr>
              <w:t>m</w:t>
            </w:r>
            <w:r>
              <w:rPr>
                <w:rFonts w:hint="eastAsia"/>
                <w:sz w:val="24"/>
                <w:szCs w:val="24"/>
                <w:vertAlign w:val="superscript"/>
              </w:rPr>
              <w:t>2</w:t>
            </w:r>
            <w:r>
              <w:rPr>
                <w:sz w:val="24"/>
                <w:szCs w:val="24"/>
              </w:rPr>
              <w:t>。</w:t>
            </w:r>
          </w:p>
        </w:tc>
        <w:tc>
          <w:tcPr>
            <w:tcW w:w="479" w:type="pct"/>
            <w:noWrap w:val="0"/>
            <w:vAlign w:val="center"/>
          </w:tcPr>
          <w:p>
            <w:pPr>
              <w:spacing w:line="300" w:lineRule="exact"/>
              <w:jc w:val="center"/>
              <w:rPr>
                <w:sz w:val="24"/>
                <w:szCs w:val="24"/>
              </w:rPr>
            </w:pPr>
            <w:r>
              <w:rPr>
                <w:sz w:val="24"/>
                <w:szCs w:val="24"/>
              </w:rPr>
              <w:t>35583</w:t>
            </w:r>
          </w:p>
        </w:tc>
        <w:tc>
          <w:tcPr>
            <w:tcW w:w="693" w:type="pct"/>
            <w:noWrap w:val="0"/>
            <w:vAlign w:val="center"/>
          </w:tcPr>
          <w:p>
            <w:pPr>
              <w:spacing w:line="300" w:lineRule="exact"/>
              <w:rPr>
                <w:rFonts w:hint="eastAsia"/>
                <w:sz w:val="24"/>
                <w:szCs w:val="24"/>
              </w:rPr>
            </w:pPr>
            <w:r>
              <w:rPr>
                <w:rFonts w:hint="eastAsia"/>
                <w:sz w:val="24"/>
                <w:szCs w:val="24"/>
              </w:rPr>
              <w:t>吉林长白边境经济合作区</w:t>
            </w:r>
          </w:p>
        </w:tc>
        <w:tc>
          <w:tcPr>
            <w:tcW w:w="484" w:type="pct"/>
            <w:tcBorders>
              <w:right w:val="single" w:color="auto" w:sz="4" w:space="0"/>
            </w:tcBorders>
            <w:noWrap w:val="0"/>
            <w:vAlign w:val="center"/>
          </w:tcPr>
          <w:p>
            <w:pPr>
              <w:spacing w:line="300" w:lineRule="exact"/>
              <w:jc w:val="center"/>
              <w:rPr>
                <w:sz w:val="24"/>
                <w:szCs w:val="24"/>
              </w:rPr>
            </w:pPr>
            <w:r>
              <w:rPr>
                <w:sz w:val="24"/>
                <w:szCs w:val="24"/>
              </w:rPr>
              <w:t>202</w:t>
            </w:r>
            <w:r>
              <w:rPr>
                <w:rFonts w:hint="eastAsia"/>
                <w:sz w:val="24"/>
                <w:szCs w:val="24"/>
              </w:rPr>
              <w:t>6—</w:t>
            </w:r>
            <w:r>
              <w:rPr>
                <w:sz w:val="24"/>
                <w:szCs w:val="24"/>
              </w:rPr>
              <w:t>20</w:t>
            </w:r>
            <w:r>
              <w:rPr>
                <w:rFonts w:hint="eastAsia"/>
                <w:sz w:val="24"/>
                <w:szCs w:val="24"/>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left w:val="single" w:color="auto" w:sz="4" w:space="0"/>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三、生态文化体系重点工程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 w:type="pct"/>
            <w:tcBorders>
              <w:lef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序号</w:t>
            </w:r>
          </w:p>
        </w:tc>
        <w:tc>
          <w:tcPr>
            <w:tcW w:w="854" w:type="pct"/>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项目名称</w:t>
            </w:r>
          </w:p>
        </w:tc>
        <w:tc>
          <w:tcPr>
            <w:tcW w:w="2240" w:type="pct"/>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主要建设内容</w:t>
            </w:r>
          </w:p>
        </w:tc>
        <w:tc>
          <w:tcPr>
            <w:tcW w:w="479" w:type="pct"/>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投资（万元）</w:t>
            </w:r>
          </w:p>
        </w:tc>
        <w:tc>
          <w:tcPr>
            <w:tcW w:w="693" w:type="pct"/>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牵头单位</w:t>
            </w:r>
          </w:p>
        </w:tc>
        <w:tc>
          <w:tcPr>
            <w:tcW w:w="484" w:type="pct"/>
            <w:tcBorders>
              <w:right w:val="single" w:color="auto" w:sz="4" w:space="0"/>
            </w:tcBorders>
            <w:noWrap w:val="0"/>
            <w:vAlign w:val="center"/>
          </w:tcPr>
          <w:p>
            <w:pPr>
              <w:spacing w:line="300" w:lineRule="exact"/>
              <w:jc w:val="center"/>
              <w:rPr>
                <w:rFonts w:hint="eastAsia" w:ascii="方正黑体_GBK" w:eastAsia="方正黑体_GBK"/>
                <w:sz w:val="24"/>
                <w:szCs w:val="24"/>
              </w:rPr>
            </w:pPr>
            <w:r>
              <w:rPr>
                <w:rFonts w:hint="eastAsia" w:ascii="方正黑体_GBK" w:eastAsia="方正黑体_GBK"/>
                <w:sz w:val="24"/>
                <w:szCs w:val="24"/>
              </w:rPr>
              <w:t>建设年限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 w:type="pct"/>
            <w:tcBorders>
              <w:left w:val="single" w:color="auto" w:sz="4" w:space="0"/>
            </w:tcBorders>
            <w:noWrap w:val="0"/>
            <w:vAlign w:val="center"/>
          </w:tcPr>
          <w:p>
            <w:pPr>
              <w:spacing w:line="300" w:lineRule="exact"/>
              <w:jc w:val="center"/>
              <w:rPr>
                <w:sz w:val="24"/>
                <w:szCs w:val="24"/>
              </w:rPr>
            </w:pPr>
            <w:r>
              <w:rPr>
                <w:rFonts w:hint="eastAsia"/>
                <w:sz w:val="24"/>
                <w:szCs w:val="24"/>
              </w:rPr>
              <w:t>1</w:t>
            </w:r>
          </w:p>
        </w:tc>
        <w:tc>
          <w:tcPr>
            <w:tcW w:w="854" w:type="pct"/>
            <w:noWrap w:val="0"/>
            <w:vAlign w:val="center"/>
          </w:tcPr>
          <w:p>
            <w:pPr>
              <w:spacing w:line="300" w:lineRule="exact"/>
              <w:rPr>
                <w:sz w:val="24"/>
                <w:szCs w:val="24"/>
              </w:rPr>
            </w:pPr>
            <w:r>
              <w:rPr>
                <w:rFonts w:hint="eastAsia"/>
                <w:sz w:val="24"/>
                <w:szCs w:val="24"/>
              </w:rPr>
              <w:t>长白县市政设施智慧平台项目</w:t>
            </w:r>
          </w:p>
        </w:tc>
        <w:tc>
          <w:tcPr>
            <w:tcW w:w="2240" w:type="pct"/>
            <w:noWrap w:val="0"/>
            <w:vAlign w:val="center"/>
          </w:tcPr>
          <w:p>
            <w:pPr>
              <w:spacing w:line="300" w:lineRule="exact"/>
              <w:rPr>
                <w:sz w:val="24"/>
                <w:szCs w:val="24"/>
              </w:rPr>
            </w:pPr>
            <w:r>
              <w:rPr>
                <w:rFonts w:hint="eastAsia"/>
                <w:sz w:val="24"/>
                <w:szCs w:val="24"/>
              </w:rPr>
              <w:t>新增智慧供水管理平台、智慧排水管理平台、智慧路灯管理平台、智慧供热管理平台、智慧物业管理平台、智慧城市管理平台。</w:t>
            </w:r>
          </w:p>
        </w:tc>
        <w:tc>
          <w:tcPr>
            <w:tcW w:w="479" w:type="pct"/>
            <w:noWrap w:val="0"/>
            <w:vAlign w:val="center"/>
          </w:tcPr>
          <w:p>
            <w:pPr>
              <w:spacing w:line="300" w:lineRule="exact"/>
              <w:jc w:val="center"/>
              <w:rPr>
                <w:sz w:val="24"/>
                <w:szCs w:val="24"/>
              </w:rPr>
            </w:pPr>
            <w:r>
              <w:rPr>
                <w:rFonts w:hint="eastAsia"/>
                <w:sz w:val="24"/>
                <w:szCs w:val="24"/>
              </w:rPr>
              <w:t>4600</w:t>
            </w:r>
          </w:p>
        </w:tc>
        <w:tc>
          <w:tcPr>
            <w:tcW w:w="693" w:type="pct"/>
            <w:noWrap w:val="0"/>
            <w:vAlign w:val="center"/>
          </w:tcPr>
          <w:p>
            <w:pPr>
              <w:spacing w:line="300" w:lineRule="exact"/>
              <w:rPr>
                <w:sz w:val="24"/>
                <w:szCs w:val="24"/>
              </w:rPr>
            </w:pPr>
            <w:r>
              <w:rPr>
                <w:rFonts w:hint="eastAsia"/>
                <w:sz w:val="24"/>
                <w:szCs w:val="24"/>
              </w:rPr>
              <w:t>长白朝鲜族自治县住房和城乡建设局</w:t>
            </w:r>
          </w:p>
        </w:tc>
        <w:tc>
          <w:tcPr>
            <w:tcW w:w="484" w:type="pct"/>
            <w:tcBorders>
              <w:right w:val="single" w:color="auto" w:sz="4" w:space="0"/>
            </w:tcBorders>
            <w:noWrap w:val="0"/>
            <w:vAlign w:val="center"/>
          </w:tcPr>
          <w:p>
            <w:pPr>
              <w:spacing w:line="300" w:lineRule="exact"/>
              <w:jc w:val="center"/>
              <w:rPr>
                <w:sz w:val="24"/>
                <w:szCs w:val="24"/>
                <w:highlight w:val="yellow"/>
              </w:rPr>
            </w:pPr>
            <w:r>
              <w:rPr>
                <w:sz w:val="24"/>
                <w:szCs w:val="24"/>
              </w:rPr>
              <w:t>202</w:t>
            </w:r>
            <w:r>
              <w:rPr>
                <w:rFonts w:hint="eastAsia"/>
                <w:sz w:val="24"/>
                <w:szCs w:val="24"/>
              </w:rPr>
              <w:t>5—</w:t>
            </w:r>
            <w:r>
              <w:rPr>
                <w:sz w:val="24"/>
                <w:szCs w:val="24"/>
              </w:rPr>
              <w:t>20</w:t>
            </w:r>
            <w:r>
              <w:rPr>
                <w:rFonts w:hint="eastAsia"/>
                <w:sz w:val="24"/>
                <w:szCs w:val="24"/>
              </w:rPr>
              <w:t>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0" w:type="pct"/>
            <w:tcBorders>
              <w:left w:val="single" w:color="auto" w:sz="4" w:space="0"/>
            </w:tcBorders>
            <w:noWrap w:val="0"/>
            <w:vAlign w:val="center"/>
          </w:tcPr>
          <w:p>
            <w:pPr>
              <w:spacing w:line="300" w:lineRule="exact"/>
              <w:jc w:val="center"/>
              <w:rPr>
                <w:rFonts w:hint="eastAsia"/>
                <w:sz w:val="24"/>
                <w:szCs w:val="24"/>
              </w:rPr>
            </w:pPr>
            <w:r>
              <w:rPr>
                <w:rFonts w:hint="eastAsia"/>
                <w:sz w:val="24"/>
                <w:szCs w:val="24"/>
              </w:rPr>
              <w:t>2</w:t>
            </w:r>
          </w:p>
        </w:tc>
        <w:tc>
          <w:tcPr>
            <w:tcW w:w="854" w:type="pct"/>
            <w:noWrap w:val="0"/>
            <w:vAlign w:val="center"/>
          </w:tcPr>
          <w:p>
            <w:pPr>
              <w:spacing w:line="300" w:lineRule="exact"/>
              <w:rPr>
                <w:rFonts w:hint="eastAsia"/>
                <w:sz w:val="24"/>
                <w:szCs w:val="24"/>
              </w:rPr>
            </w:pPr>
            <w:r>
              <w:rPr>
                <w:rFonts w:hint="eastAsia"/>
                <w:sz w:val="24"/>
                <w:szCs w:val="24"/>
              </w:rPr>
              <w:t>长白县智慧口岸信息化建设项目</w:t>
            </w:r>
          </w:p>
        </w:tc>
        <w:tc>
          <w:tcPr>
            <w:tcW w:w="2240" w:type="pct"/>
            <w:noWrap w:val="0"/>
            <w:vAlign w:val="center"/>
          </w:tcPr>
          <w:p>
            <w:pPr>
              <w:spacing w:line="300" w:lineRule="exact"/>
              <w:rPr>
                <w:rFonts w:hint="eastAsia"/>
                <w:sz w:val="24"/>
                <w:szCs w:val="24"/>
              </w:rPr>
            </w:pPr>
            <w:r>
              <w:rPr>
                <w:rFonts w:hint="eastAsia"/>
                <w:sz w:val="24"/>
                <w:szCs w:val="24"/>
              </w:rPr>
              <w:t>主要包括边检指挥中心系统、人脸识别系统、梅沙辅助系统软件、执法取证设施、货运查验设施建设，海关指挥中心系统、人脸识别系统、场站管理系统、货运监管设施设备等。</w:t>
            </w:r>
          </w:p>
        </w:tc>
        <w:tc>
          <w:tcPr>
            <w:tcW w:w="479" w:type="pct"/>
            <w:noWrap w:val="0"/>
            <w:vAlign w:val="center"/>
          </w:tcPr>
          <w:p>
            <w:pPr>
              <w:spacing w:line="300" w:lineRule="exact"/>
              <w:jc w:val="center"/>
              <w:rPr>
                <w:sz w:val="24"/>
                <w:szCs w:val="24"/>
              </w:rPr>
            </w:pPr>
            <w:r>
              <w:rPr>
                <w:rFonts w:hint="eastAsia"/>
                <w:sz w:val="24"/>
                <w:szCs w:val="24"/>
              </w:rPr>
              <w:t>2520</w:t>
            </w:r>
          </w:p>
        </w:tc>
        <w:tc>
          <w:tcPr>
            <w:tcW w:w="693" w:type="pct"/>
            <w:noWrap w:val="0"/>
            <w:vAlign w:val="center"/>
          </w:tcPr>
          <w:p>
            <w:pPr>
              <w:spacing w:line="300" w:lineRule="exact"/>
              <w:rPr>
                <w:rFonts w:hint="eastAsia"/>
                <w:sz w:val="24"/>
                <w:szCs w:val="24"/>
              </w:rPr>
            </w:pPr>
            <w:r>
              <w:rPr>
                <w:rFonts w:hint="eastAsia"/>
                <w:sz w:val="24"/>
                <w:szCs w:val="24"/>
              </w:rPr>
              <w:t>长白朝鲜族自治县商务局</w:t>
            </w:r>
          </w:p>
        </w:tc>
        <w:tc>
          <w:tcPr>
            <w:tcW w:w="484" w:type="pct"/>
            <w:tcBorders>
              <w:right w:val="single" w:color="auto" w:sz="4" w:space="0"/>
            </w:tcBorders>
            <w:noWrap w:val="0"/>
            <w:vAlign w:val="center"/>
          </w:tcPr>
          <w:p>
            <w:pPr>
              <w:spacing w:line="300" w:lineRule="exact"/>
              <w:jc w:val="center"/>
              <w:rPr>
                <w:rFonts w:hint="eastAsia"/>
                <w:sz w:val="24"/>
                <w:szCs w:val="24"/>
                <w:highlight w:val="yellow"/>
              </w:rPr>
            </w:pPr>
            <w:r>
              <w:rPr>
                <w:sz w:val="24"/>
                <w:szCs w:val="24"/>
              </w:rPr>
              <w:t>202</w:t>
            </w:r>
            <w:r>
              <w:rPr>
                <w:rFonts w:hint="eastAsia"/>
                <w:sz w:val="24"/>
                <w:szCs w:val="24"/>
              </w:rPr>
              <w:t>5—</w:t>
            </w:r>
            <w:r>
              <w:rPr>
                <w:sz w:val="24"/>
                <w:szCs w:val="24"/>
              </w:rPr>
              <w:t>20</w:t>
            </w:r>
            <w:r>
              <w:rPr>
                <w:rFonts w:hint="eastAsia"/>
                <w:sz w:val="24"/>
                <w:szCs w:val="24"/>
              </w:rPr>
              <w:t>27</w:t>
            </w:r>
          </w:p>
        </w:tc>
      </w:tr>
    </w:tbl>
    <w:p>
      <w:pPr>
        <w:sectPr>
          <w:pgSz w:w="16838" w:h="11906" w:orient="landscape"/>
          <w:pgMar w:top="1588" w:right="2098" w:bottom="1474" w:left="1985" w:header="2098" w:footer="1644" w:gutter="0"/>
          <w:cols w:space="720" w:num="1"/>
          <w:docGrid w:type="lines" w:linePitch="579" w:charSpace="-842"/>
        </w:sectPr>
      </w:pPr>
    </w:p>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spacing w:line="560" w:lineRule="exact"/>
        <w:rPr>
          <w:rFonts w:hint="eastAsia"/>
        </w:rPr>
      </w:pPr>
    </w:p>
    <w:p>
      <w:pPr>
        <w:spacing w:line="560" w:lineRule="exact"/>
        <w:rPr>
          <w:color w:val="000000"/>
          <w:sz w:val="28"/>
          <w:szCs w:val="28"/>
        </w:rPr>
      </w:pPr>
      <w:r>
        <w:rPr>
          <w:snapToGrid/>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89600"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5689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8pt;z-index:251661312;mso-width-relative:page;mso-height-relative:page;" filled="f" stroked="t" coordsize="21600,21600" o:gfxdata="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1qtubRAAAAAgEAAA8AAAAAAAAAAQAgAAAAIgAAAGRycy9kb3ducmV2LnhtbFBLAQIUABQAAAAI&#10;AIdO4kD/2nbh9AEAAOQDAAAOAAAAAAAAAAEAIAAAACABAABkcnMvZTJvRG9jLnhtbFBLBQYAAAAA&#10;BgAGAFkBAACGBQAAAAA=&#10;">
                <v:fill on="f" focussize="0,0"/>
                <v:stroke color="#000000" joinstyle="round"/>
                <v:imagedata o:title=""/>
                <o:lock v:ext="edit" aspectratio="f"/>
              </v:line>
            </w:pict>
          </mc:Fallback>
        </mc:AlternateContent>
      </w:r>
      <w:r>
        <w:rPr>
          <w:color w:val="000000"/>
          <w:sz w:val="28"/>
          <w:szCs w:val="28"/>
        </w:rPr>
        <w:t xml:space="preserve">  抄送：县委各部门，县人大常委会、政协、纪委办公室，县法院、检</w:t>
      </w:r>
    </w:p>
    <w:p>
      <w:pPr>
        <w:spacing w:line="560" w:lineRule="exact"/>
        <w:ind w:left="1228" w:leftChars="352" w:hanging="116" w:hangingChars="42"/>
        <w:rPr>
          <w:color w:val="000000"/>
          <w:sz w:val="28"/>
          <w:szCs w:val="28"/>
        </w:rPr>
      </w:pPr>
      <w:r>
        <w:rPr>
          <w:color w:val="000000"/>
          <w:sz w:val="28"/>
          <w:szCs w:val="28"/>
        </w:rPr>
        <w:t>察院，各驻长军警单位，各人民团体、民主党派。</w:t>
      </w:r>
    </w:p>
    <w:p>
      <w:pPr>
        <w:spacing w:line="560" w:lineRule="exact"/>
      </w:pPr>
      <w:r>
        <w:rPr>
          <w:snapToGrid/>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89600"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5689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8pt;z-index:251660288;mso-width-relative:page;mso-height-relative:page;" filled="f" stroked="t" coordsize="21600,21600" o:gfxdata="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Wq25tEAAAACAQAADwAAAAAAAAABACAAAAAiAAAAZHJzL2Rvd25yZXYueG1sUEsBAhQAFAAAAAgA&#10;h07iQMxn2lbzAQAA5AMAAA4AAAAAAAAAAQAgAAAAIAEAAGRycy9lMm9Eb2MueG1sUEsFBgAAAAAG&#10;AAYAWQEAAIUFAAAAAA==&#10;">
                <v:fill on="f" focussize="0,0"/>
                <v:stroke color="#000000" joinstyle="round"/>
                <v:imagedata o:title=""/>
                <o:lock v:ext="edit" aspectratio="f"/>
              </v:line>
            </w:pict>
          </mc:Fallback>
        </mc:AlternateContent>
      </w:r>
      <w:r>
        <w:rPr>
          <w:snapToGrid/>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369570</wp:posOffset>
                </wp:positionV>
                <wp:extent cx="5689600"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5689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1pt;height:0pt;width:448pt;z-index:251659264;mso-width-relative:page;mso-height-relative:page;" filled="f" stroked="t" coordsize="21600,21600" o:gfxdata="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J/cEHTAAAABgEAAA8AAAAAAAAAAQAgAAAAIgAAAGRycy9kb3ducmV2LnhtbFBLAQIUABQA&#10;AAAIAIdO4kDusRKM9QEAAOQDAAAOAAAAAAAAAAEAIAAAACIBAABkcnMvZTJvRG9jLnhtbFBLBQYA&#10;AAAABgAGAFkBAACJBQAAAAA=&#10;">
                <v:fill on="f" focussize="0,0"/>
                <v:stroke color="#000000" joinstyle="round"/>
                <v:imagedata o:title=""/>
                <o:lock v:ext="edit" aspectratio="f"/>
              </v:line>
            </w:pict>
          </mc:Fallback>
        </mc:AlternateContent>
      </w:r>
      <w:r>
        <w:rPr>
          <w:color w:val="000000"/>
          <w:sz w:val="28"/>
          <w:szCs w:val="28"/>
        </w:rPr>
        <w:t xml:space="preserve">  长白朝鲜族自治县人民政府办公室         </w:t>
      </w:r>
      <w:r>
        <w:rPr>
          <w:rFonts w:hint="eastAsia"/>
          <w:color w:val="000000"/>
          <w:sz w:val="28"/>
          <w:szCs w:val="28"/>
        </w:rPr>
        <w:t xml:space="preserve">   </w:t>
      </w:r>
      <w:r>
        <w:rPr>
          <w:color w:val="000000"/>
          <w:sz w:val="28"/>
          <w:szCs w:val="28"/>
        </w:rPr>
        <w:t>20</w:t>
      </w:r>
      <w:r>
        <w:rPr>
          <w:rFonts w:hint="eastAsia"/>
          <w:color w:val="000000"/>
          <w:sz w:val="28"/>
          <w:szCs w:val="28"/>
        </w:rPr>
        <w:t>24</w:t>
      </w:r>
      <w:r>
        <w:rPr>
          <w:color w:val="000000"/>
          <w:sz w:val="28"/>
          <w:szCs w:val="28"/>
        </w:rPr>
        <w:t>年</w:t>
      </w:r>
      <w:r>
        <w:rPr>
          <w:rFonts w:hint="eastAsia"/>
          <w:sz w:val="28"/>
          <w:szCs w:val="28"/>
        </w:rPr>
        <w:t>6</w:t>
      </w:r>
      <w:r>
        <w:rPr>
          <w:sz w:val="28"/>
          <w:szCs w:val="28"/>
        </w:rPr>
        <w:t>月</w:t>
      </w:r>
      <w:r>
        <w:rPr>
          <w:rFonts w:hint="eastAsia"/>
          <w:color w:val="000000"/>
          <w:sz w:val="28"/>
          <w:szCs w:val="28"/>
        </w:rPr>
        <w:t>13</w:t>
      </w:r>
      <w:r>
        <w:rPr>
          <w:sz w:val="28"/>
          <w:szCs w:val="28"/>
        </w:rPr>
        <w:t>日印发</w:t>
      </w:r>
    </w:p>
    <w:sectPr>
      <w:pgSz w:w="11906" w:h="16838"/>
      <w:pgMar w:top="2098" w:right="1474" w:bottom="1985" w:left="1588" w:header="2098" w:footer="1644"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44</w:t>
    </w:r>
    <w:r>
      <w:rPr>
        <w:sz w:val="28"/>
        <w:szCs w:val="28"/>
      </w:rPr>
      <w:fldChar w:fldCharType="end"/>
    </w:r>
    <w:r>
      <w:rPr>
        <w:rStyle w:val="5"/>
        <w:rFonts w:hint="eastAsia"/>
        <w:sz w:val="28"/>
        <w:szCs w:val="28"/>
      </w:rPr>
      <w:t xml:space="preserve"> —</w:t>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2OGViOTA3MGNmNWZkMGIzNDk5OGRhZGQ1M2EwZWYifQ=="/>
  </w:docVars>
  <w:rsids>
    <w:rsidRoot w:val="00000000"/>
    <w:rsid w:val="3676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snapToGrid w:val="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21"/>
    <w:basedOn w:val="4"/>
    <w:qFormat/>
    <w:uiPriority w:val="0"/>
    <w:rPr>
      <w:rFonts w:hint="default" w:ascii="Times New Roman" w:hAnsi="Times New Roman" w:cs="Times New Roman"/>
      <w:color w:val="000000"/>
      <w:sz w:val="21"/>
      <w:szCs w:val="21"/>
      <w:u w:val="none"/>
    </w:rPr>
  </w:style>
  <w:style w:type="character" w:customStyle="1" w:styleId="7">
    <w:name w:val="font11"/>
    <w:basedOn w:val="4"/>
    <w:qFormat/>
    <w:uiPriority w:val="0"/>
    <w:rPr>
      <w:rFonts w:hint="default" w:ascii="Times New Roman" w:hAnsi="Times New Roman" w:cs="Times New Roman"/>
      <w:color w:val="000000"/>
      <w:sz w:val="24"/>
      <w:szCs w:val="24"/>
      <w:u w:val="none"/>
    </w:rPr>
  </w:style>
  <w:style w:type="character" w:customStyle="1" w:styleId="8">
    <w:name w:val="font31"/>
    <w:basedOn w:val="4"/>
    <w:qFormat/>
    <w:uiPriority w:val="0"/>
    <w:rPr>
      <w:rFonts w:hint="eastAsia" w:ascii="方正黑体_GBK" w:eastAsia="方正黑体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0</Words>
  <Characters>0</Characters>
  <Lines>0</Lines>
  <Paragraphs>0</Paragraphs>
  <TotalTime>8</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2024-06-14T01:08:18Z</dcterms:created>
  <dc:creator>LvYang</dc:creator>
  <cp:lastModifiedBy>柚稚</cp:lastModifiedBy>
  <dcterms:modified xsi:type="dcterms:W3CDTF">2024-06-14T01:16:28Z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03E0730874C84A389402765E1495B446_12</vt:lpwstr>
  </property>
</Properties>
</file>