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713C">
      <w:pPr>
        <w:ind w:right="944"/>
        <w:rPr>
          <w:rFonts w:eastAsia="方正黑体_GBK"/>
          <w:kern w:val="2"/>
        </w:rPr>
      </w:pPr>
      <w:bookmarkStart w:id="0" w:name="_GoBack"/>
      <w:r>
        <w:rPr>
          <w:rFonts w:eastAsia="方正黑体_GBK"/>
          <w:bCs/>
        </w:rPr>
        <w:t>附件2</w:t>
      </w:r>
    </w:p>
    <w:p w14:paraId="6726594A">
      <w:pPr>
        <w:spacing w:line="56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3BCF48DA">
      <w:pPr>
        <w:spacing w:line="68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长白朝鲜族自治县城区地下空间土地使用权价格表</w:t>
      </w:r>
    </w:p>
    <w:bookmarkEnd w:id="0"/>
    <w:p w14:paraId="4AC9F38E"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 w14:paraId="564AD830"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sz w:val="24"/>
          <w:szCs w:val="24"/>
        </w:rPr>
        <w:t>单位：元/平方米</w:t>
      </w:r>
    </w:p>
    <w:tbl>
      <w:tblPr>
        <w:tblStyle w:val="2"/>
        <w:tblW w:w="12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406"/>
        <w:gridCol w:w="1188"/>
        <w:gridCol w:w="1188"/>
        <w:gridCol w:w="1188"/>
        <w:gridCol w:w="1147"/>
        <w:gridCol w:w="1106"/>
        <w:gridCol w:w="1106"/>
        <w:gridCol w:w="1488"/>
      </w:tblGrid>
      <w:tr w14:paraId="6AD4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89E7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一级地类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A453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二级地类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4214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F898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基准地价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B7A7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纯收益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4B04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结建项目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D7C7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单建项目</w:t>
            </w:r>
          </w:p>
        </w:tc>
      </w:tr>
      <w:tr w14:paraId="263D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D02B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A954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0F0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F22F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F399A">
            <w:pPr>
              <w:widowControl/>
              <w:spacing w:line="300" w:lineRule="exact"/>
              <w:jc w:val="left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1C27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负一层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D4CD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负二层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FB2B">
            <w:pPr>
              <w:widowControl/>
              <w:autoSpaceDE w:val="0"/>
              <w:spacing w:line="300" w:lineRule="exact"/>
              <w:jc w:val="center"/>
              <w:rPr>
                <w:rFonts w:hint="eastAsia" w:ascii="方正黑体_GBK" w:hAnsi="宋体" w:eastAsia="方正黑体_GBK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</w:rPr>
              <w:t>负三层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C984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14:paraId="6D7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9810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商业服务业用地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8708">
            <w:pPr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商业用地、商务金融用地、娱乐用地、其他商业服务业用地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8CC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CDE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8B0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2BC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B8B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A9E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F30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</w:tr>
      <w:tr w14:paraId="1A64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2F35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E96F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17D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38A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93C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3D8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250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286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C51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</w:tr>
      <w:tr w14:paraId="737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1C74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0C97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52B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F6E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FAD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000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042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F3E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81A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14:paraId="1B80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00B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居住用地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D381">
            <w:pPr>
              <w:widowControl/>
              <w:autoSpaceDE w:val="0"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城镇住宅用地、城镇社区服务设施用地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C96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F65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F05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7A1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156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C830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1A5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</w:tr>
      <w:tr w14:paraId="441F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680F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EB05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BD3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014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43D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A9C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0AA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A3C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D7C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14:paraId="5F20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7EFC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62AC">
            <w:pPr>
              <w:widowControl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7BB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FF3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367E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FB7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F04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B6E6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00C7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14:paraId="3A57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1F8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工矿用地、仓储用地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AC6F">
            <w:pPr>
              <w:widowControl/>
              <w:autoSpaceDE w:val="0"/>
              <w:spacing w:line="300" w:lineRule="exact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工业用地、采矿用地、物流仓储用地、储备库用地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3E0C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4D0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EC0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F90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22CD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2AF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DA3A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14:paraId="003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F099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A8EC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ED2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7870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140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0DD1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0528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3F1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B5D4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14:paraId="358F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BF93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7561">
            <w:pPr>
              <w:widowControl/>
              <w:spacing w:line="300" w:lineRule="exact"/>
              <w:jc w:val="left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64D5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Ⅲ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583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0E82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C839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709B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2B33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C53F">
            <w:pPr>
              <w:widowControl/>
              <w:autoSpaceDE w:val="0"/>
              <w:spacing w:line="300" w:lineRule="exact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</w:tbl>
    <w:p w14:paraId="71D161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2025-07-05T10:47:04Z</dcterms:created>
  <dc:creator>Administrator</dc:creator>
  <cp:lastModifiedBy>郑明哲</cp:lastModifiedBy>
  <dcterms:modified xsi:type="dcterms:W3CDTF">2025-07-05T10:47:20Z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eyJoZGlkIjoiODE1YmQyZjk0ZGE4MGUxYjMwMTlkNTcwMTYyMmI2OGEiLCJ1c2VySWQiOiIyNDM0MzcxODMifQ==</vt:lpwstr>
  </property>
  <property fmtid="{D5CDD505-2E9C-101B-9397-08002B2CF9AE}" pid="4" name="ICV">
    <vt:lpwstr>A2769DFD28034B52AD9487FBB4BCF16C_12</vt:lpwstr>
  </property>
</Properties>
</file>