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D6E3BC"/>
  <w:body>
    <w:p>
      <w:pPr>
        <w:jc w:val="center"/>
        <w:rPr>
          <w:rFonts w:ascii="宋体" w:hint="eastAsia"/>
          <w:b/>
          <w:bCs/>
          <w:sz w:val="36"/>
          <w:szCs w:val="36"/>
        </w:rPr>
      </w:pPr>
      <w:r>
        <w:rPr>
          <w:rFonts w:ascii="宋体" w:hint="eastAsia"/>
          <w:b/>
          <w:bCs/>
          <w:sz w:val="36"/>
          <w:szCs w:val="36"/>
        </w:rPr>
        <w:t>长白朝鲜族自治县医疗保障局</w:t>
      </w:r>
    </w:p>
    <w:p>
      <w:pPr>
        <w:jc w:val="center"/>
        <w:rPr>
          <w:rFonts w:ascii="宋体" w:hint="eastAsia"/>
          <w:b/>
          <w:bCs/>
          <w:sz w:val="36"/>
          <w:szCs w:val="36"/>
        </w:rPr>
      </w:pPr>
      <w:r>
        <w:rPr>
          <w:rFonts w:ascii="宋体" w:hint="eastAsia"/>
          <w:b/>
          <w:bCs/>
          <w:sz w:val="36"/>
          <w:szCs w:val="36"/>
        </w:rPr>
        <w:t>2021年度政府信息公开工作年度报告</w:t>
      </w:r>
    </w:p>
    <w:p>
      <w:r>
        <w:t xml:space="preserve"> </w:t>
      </w:r>
    </w:p>
    <w:p>
      <w:pPr>
        <w:ind w:firstLineChars="200" w:firstLine="420"/>
      </w:pPr>
      <w:r>
        <w:t>2021年县医疗保障局政府信息公开工作年度报告是根据《中华人民共和国政府信息公开条例》（以下简称《条例》）的有关规定和省市县政府信息公开年度报告编制发布工作的整体安排编制完成的。全文由“总体情况”、“主动公开政府信息情况”、“收到和处理政府信息公开申请情况”、“政府信息行政复议和诉讼情况”、“存在的主要问题及改进情况”和“其他需要报告的事项”六个部分组成。</w:t>
      </w:r>
    </w:p>
    <w:p>
      <w:pPr>
        <w:ind w:firstLineChars="200" w:firstLine="420"/>
      </w:pPr>
      <w:r>
        <w:t>本报告所列数据统计的时限自2021年1月1日至2021年12月31日，本报告电子版可在长白朝鲜族自治县人民政府门户网站政务公开专栏政府信息公开年报政务服务和数字化建设管理局专栏下载。如有疑问，请与长白朝鲜族自治县医疗保障局联系，邮编：134400，地址：东安路29号，电话：0439-8255058，邮箱：927142805@qq.com。</w:t>
      </w:r>
    </w:p>
    <w:p>
      <w:pPr>
        <w:ind w:firstLineChars="200" w:firstLine="420"/>
      </w:pPr>
      <w:r>
        <w:t>一、总体情况</w:t>
      </w:r>
    </w:p>
    <w:p>
      <w:pPr>
        <w:ind w:firstLineChars="200" w:firstLine="420"/>
      </w:pPr>
      <w:r>
        <w:t>2021年，我局政务公开工作是按照《条例》有关规定，深入贯彻落实国家、省、市关于全面推进政务公开的各项要求，紧紧围绕县委、县政府中心工作与群众关注关切，坚持“以公开为常态，不公开为例外”原则，切实把公开透明理念和要求体现到我局各项工作中，有效地促进政府职能转变和管理创新，提高政府治理能力和优化营商环境，保障人民群众的权利，切实增强人民群众的满意度、获得感，为促进经济持续健康发展和社会大局稳定发挥积极作用。</w:t>
      </w:r>
    </w:p>
    <w:p>
      <w:pPr>
        <w:ind w:firstLineChars="200" w:firstLine="420"/>
      </w:pPr>
      <w:r>
        <w:t>（一）健全政务公开保障机制</w:t>
      </w:r>
    </w:p>
    <w:p>
      <w:pPr>
        <w:ind w:firstLineChars="200" w:firstLine="420"/>
      </w:pPr>
      <w:r>
        <w:t>我局政务公开工作是按照局长负总责，分管副局长具体负责推动开展。</w:t>
      </w:r>
    </w:p>
    <w:p>
      <w:pPr>
        <w:ind w:firstLineChars="200" w:firstLine="420"/>
      </w:pPr>
      <w:r>
        <w:t>信息公开制度http://xxgk-cb.cbs.gov.cn/zcbm/cbxylbzj/xxgkyj2/</w:t>
      </w:r>
    </w:p>
    <w:p>
      <w:pPr>
        <w:ind w:firstLineChars="200" w:firstLine="420"/>
      </w:pPr>
      <w:r>
        <w:t>（二）政府信息公开目录工作情况</w:t>
      </w:r>
    </w:p>
    <w:p>
      <w:pPr>
        <w:ind w:firstLineChars="200" w:firstLine="420"/>
      </w:pPr>
      <w:r>
        <w:t>我局政府信息公开专栏包括政府信息公开目录、政府信息公开指南、政府信息公开年报、政府信息公开制度、依申请公开、法定主动公开内容等栏目。专栏内容由局办公室主动上传对外公布。2021年，我局主动公开政府信息17条。</w:t>
      </w:r>
    </w:p>
    <w:p>
      <w:pPr>
        <w:ind w:firstLineChars="200" w:firstLine="420"/>
      </w:pPr>
      <w:r>
        <w:t>信息公开目录http://xxgk-cb.cbs.gov.cn/zcbm/cbxylbzj/xxgkml/</w:t>
      </w:r>
    </w:p>
    <w:p>
      <w:pPr>
        <w:ind w:firstLineChars="200" w:firstLine="420"/>
      </w:pPr>
      <w:r>
        <w:t>（三）政策解读工作情况</w:t>
      </w:r>
    </w:p>
    <w:p>
      <w:pPr>
        <w:ind w:firstLineChars="200" w:firstLine="420"/>
      </w:pPr>
      <w:r>
        <w:t>为推进政府工作、政策执行阳光透明，县政府制发了《长白朝鲜族自治县行政机关政策文件解读实施办法》（长政办函〔2018〕22号），按照“谁起草、谁解读 ”的原则, 由发文单位做好解读工作。真正做到政策文件与解读材料同步起草、同步审签、同步发布。以公开促落实，以公开促规范，以公开促服务，使政策执行更加阳光透明。</w:t>
      </w:r>
    </w:p>
    <w:p>
      <w:pPr>
        <w:ind w:firstLineChars="200" w:firstLine="420"/>
      </w:pPr>
      <w:r>
        <w:t>解读查看网址： http://xxgk-cb.cbs.gov.cn/zcbm/cbxylbzj/xxgkzn2/</w:t>
      </w:r>
    </w:p>
    <w:p>
      <w:pPr>
        <w:ind w:left="0" w:firstLineChars="200" w:firstLine="420"/>
      </w:pPr>
      <w:r>
        <w:t>（四）依申请公开工作方面</w:t>
      </w:r>
    </w:p>
    <w:p>
      <w:pPr>
        <w:ind w:leftChars="50" w:left="105" w:firstLineChars="200" w:firstLine="420"/>
      </w:pPr>
      <w:r>
        <w:t>按照省、市明确的依申请公开相关工作要求，建立健全依申请公开工作机制，全面完善依申请公开受理、签收、审查、办理、答复和保存备查等各个环节的流程。</w:t>
      </w:r>
    </w:p>
    <w:p>
      <w:r>
        <w:t>公开申请网址： http://xxgk-cb.cbs.gov.cn/zcbm/cbxylbzj/xxgkml/</w:t>
      </w:r>
    </w:p>
    <w:p>
      <w:pPr>
        <w:ind w:firstLineChars="200" w:firstLine="420"/>
      </w:pPr>
      <w:r>
        <w:t>（五）“五公开”落实情况</w:t>
      </w:r>
    </w:p>
    <w:p>
      <w:pPr>
        <w:ind w:firstLineChars="200" w:firstLine="420"/>
      </w:pPr>
      <w:r>
        <w:t>进一步加大政府信息和政务公开工作力度，全面落实“五公开”工作机制，把政府信息和政务信息“五公开” 纳入办文办会工作，拟制办文时，明确要求主动公开、依申请公开、不予公开等属性，随公文一并报批。增强决策透明度，对提交县政府常务会议审议的重要改革方案和重大决策措施，除依法应当保密的外，应在决策前向社会公布征求意见，广泛听取公众意见。</w:t>
      </w:r>
    </w:p>
    <w:p>
      <w:pPr>
        <w:ind w:firstLineChars="200" w:firstLine="420"/>
      </w:pPr>
      <w:r>
        <w:t>公开专栏网址： http://xxgk-cb.cbs.gov.cn/zcbm/cbxylbzj/zcfg/</w:t>
      </w:r>
    </w:p>
    <w:p>
      <w:pPr>
        <w:ind w:firstLineChars="200" w:firstLine="420"/>
      </w:pPr>
      <w:r>
        <w:t>（六）政务公开咨询电话整治工作</w:t>
      </w:r>
    </w:p>
    <w:p>
      <w:pPr>
        <w:ind w:firstLineChars="200" w:firstLine="420"/>
      </w:pPr>
      <w:r>
        <w:t>组织本部门全面重新核查、梳理并更新政府信息公开电话；落实专人负责接听政府信息公开电话；完善政府信息公开电话随机抽查工作机制，发现问题及时沟通督促整改。现已公开政务公开咨询电话1部。</w:t>
      </w:r>
    </w:p>
    <w:p>
      <w:pPr>
        <w:ind w:firstLineChars="200" w:firstLine="420"/>
      </w:pPr>
      <w:r>
        <w:t>电话查询网址： http://xxgk-cb.cbs.gov.cn/zcbm/cbxylbzj/xxgkzn2/</w:t>
      </w:r>
    </w:p>
    <w:p>
      <w:pPr>
        <w:ind w:left="0" w:firstLineChars="200" w:firstLine="480"/>
        <w:rPr>
          <w:rFonts w:ascii="宋体" w:eastAsia="宋体" w:cs="宋体"/>
          <w:b/>
          <w:bCs/>
          <w:sz w:val="24"/>
          <w:szCs w:val="24"/>
        </w:rPr>
      </w:pPr>
      <w:r>
        <w:rPr>
          <w:rFonts w:ascii="宋体" w:eastAsia="宋体" w:cs="宋体" w:hint="eastAsia"/>
          <w:b/>
          <w:bCs/>
          <w:sz w:val="24"/>
          <w:szCs w:val="24"/>
        </w:rPr>
        <w:t>二、主动公开政府信息情况</w:t>
      </w:r>
    </w:p>
    <w:tbl>
      <w:tblPr>
        <w:jc w:val="center"/>
        <w:tblW w:w="901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461"/>
        <w:gridCol w:w="2184"/>
        <w:gridCol w:w="2184"/>
        <w:gridCol w:w="2185"/>
      </w:tblGrid>
      <w:tr>
        <w:trPr>
          <w:trHeight w:val="495"/>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第二十条第（一）项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现行有效件数</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c>
          <w:tcPr>
            <w:tcW w:w="218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r>
        <w:trPr>
          <w:trHeight w:val="47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c>
          <w:tcPr>
            <w:tcW w:w="218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r>
        <w:trPr>
          <w:trHeight w:val="480"/>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第二十条第（五）项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本年处理决定数量</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r>
        <w:trPr>
          <w:trHeight w:val="406"/>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第二十条第（六）项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本年处理决定数量</w:t>
            </w:r>
          </w:p>
        </w:tc>
      </w:tr>
      <w:tr>
        <w:trPr>
          <w:trHeight w:val="430"/>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r>
        <w:trPr>
          <w:trHeight w:val="409"/>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r>
        <w:trPr>
          <w:trHeight w:val="474"/>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第二十条第（八）项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本年收费金额（单位：万元）</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bl>
    <w:p>
      <w:pPr>
        <w:numPr>
          <w:ilvl w:val="0"/>
          <w:numId w:val="1"/>
        </w:numPr>
        <w:ind w:left="0" w:firstLineChars="200" w:firstLine="480"/>
        <w:rPr>
          <w:rFonts w:ascii="宋体" w:eastAsia="宋体" w:cs="宋体"/>
          <w:b/>
          <w:bCs/>
          <w:sz w:val="24"/>
          <w:szCs w:val="24"/>
        </w:rPr>
      </w:pPr>
      <w:r>
        <w:rPr>
          <w:rFonts w:ascii="宋体" w:eastAsia="宋体" w:cs="宋体" w:hint="eastAsia"/>
          <w:b/>
          <w:bCs/>
          <w:sz w:val="24"/>
          <w:szCs w:val="24"/>
        </w:rPr>
        <w:t>收到和处理政府信息公开申请情况</w:t>
      </w:r>
    </w:p>
    <w:tbl>
      <w:tblPr>
        <w:jc w:val="center"/>
        <w:tblW w:w="9071"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rPr>
          <w:trHeight w:val="404"/>
        </w:trPr>
        <w:tc>
          <w:tcPr>
            <w:tcW w:w="3687"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楷体" w:eastAsia="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申请人情况</w:t>
            </w:r>
          </w:p>
        </w:tc>
      </w:tr>
      <w:tr>
        <w:trPr>
          <w:trHeight w:val="414"/>
        </w:trPr>
        <w:tc>
          <w:tcPr>
            <w:tcW w:w="3687" w:type="dxa"/>
            <w:gridSpan w:val="3"/>
            <w:vMerge/>
            <w:tcBorders>
              <w:top w:val="single" w:sz="8" w:space="0" w:color="auto"/>
              <w:left w:val="single" w:sz="8" w:space="0" w:color="auto"/>
              <w:bottom w:val="single" w:sz="8" w:space="0" w:color="auto"/>
              <w:right w:val="single" w:sz="8" w:space="0" w:color="auto"/>
            </w:tcBorders>
            <w:vAlign w:val="center"/>
          </w:tcPr>
          <w:p/>
        </w:tc>
        <w:tc>
          <w:tcPr>
            <w:tcW w:w="683" w:type="dxa"/>
            <w:vMerge w:val="restart"/>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自</w:t>
            </w:r>
          </w:p>
          <w:p>
            <w:pPr>
              <w:widowControl/>
              <w:jc w:val="center"/>
              <w:rPr>
                <w:rFonts w:ascii="宋体" w:eastAsia="宋体" w:cs="宋体" w:hint="eastAsia"/>
                <w:kern w:val="0"/>
                <w:sz w:val="20"/>
                <w:szCs w:val="20"/>
              </w:rPr>
            </w:pPr>
            <w:r>
              <w:rPr>
                <w:rFonts w:ascii="宋体" w:eastAsia="宋体" w:cs="宋体" w:hint="eastAsia"/>
                <w:kern w:val="0"/>
                <w:sz w:val="20"/>
                <w:szCs w:val="20"/>
              </w:rPr>
              <w:t>然</w:t>
            </w:r>
          </w:p>
          <w:p>
            <w:pPr>
              <w:widowControl/>
              <w:jc w:val="center"/>
              <w:rPr>
                <w:rFonts w:ascii="宋体" w:eastAsia="宋体" w:cs="宋体"/>
                <w:kern w:val="0"/>
                <w:sz w:val="24"/>
                <w:szCs w:val="24"/>
              </w:rPr>
            </w:pPr>
            <w:r>
              <w:rPr>
                <w:rFonts w:ascii="宋体" w:eastAsia="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总计</w:t>
            </w:r>
          </w:p>
        </w:tc>
      </w:tr>
      <w:tr>
        <w:trPr>
          <w:trHeight w:val="774"/>
        </w:trPr>
        <w:tc>
          <w:tcPr>
            <w:tcW w:w="3687" w:type="dxa"/>
            <w:gridSpan w:val="3"/>
            <w:vMerge/>
            <w:tcBorders>
              <w:top w:val="single" w:sz="8" w:space="0" w:color="auto"/>
              <w:left w:val="single" w:sz="8" w:space="0" w:color="auto"/>
              <w:bottom w:val="single" w:sz="8" w:space="0" w:color="auto"/>
              <w:right w:val="single" w:sz="8" w:space="0" w:color="auto"/>
            </w:tcBorders>
            <w:vAlign w:val="center"/>
          </w:tcPr>
          <w:p/>
        </w:tc>
        <w:tc>
          <w:tcPr>
            <w:tcW w:w="683" w:type="dxa"/>
            <w:vMerge/>
            <w:tcBorders>
              <w:top w:val="nil"/>
              <w:left w:val="nil"/>
              <w:bottom w:val="single" w:sz="8" w:space="0" w:color="auto"/>
              <w:right w:val="single" w:sz="8" w:space="0" w:color="auto"/>
            </w:tcBorders>
            <w:vAlign w:val="center"/>
          </w:tcP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商业企业</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w:t>
            </w:r>
          </w:p>
        </w:tc>
        <w:tc>
          <w:tcPr>
            <w:vMerge/>
            <w:tcBorders>
              <w:top w:val="single" w:sz="8" w:space="0" w:color="auto"/>
              <w:left w:val="nil"/>
              <w:bottom w:val="single" w:sz="8" w:space="0" w:color="auto"/>
              <w:right w:val="single" w:sz="8" w:space="0" w:color="auto"/>
            </w:tcBorders>
            <w:vAlign w:val="center"/>
          </w:tcPr>
          <w:p/>
        </w:tc>
      </w:tr>
      <w:tr>
        <w:trPr>
          <w:trHeight w:val="431"/>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tcW w:w="617"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p>
          <w:p>
            <w:pPr>
              <w:widowControl/>
              <w:rPr>
                <w:rFonts w:ascii="宋体" w:eastAsia="宋体" w:cs="宋体" w:hint="eastAsia"/>
                <w:kern w:val="0"/>
                <w:sz w:val="20"/>
                <w:szCs w:val="20"/>
              </w:rPr>
            </w:pPr>
            <w:r>
              <w:rPr>
                <w:rFonts w:ascii="宋体" w:eastAsia="宋体" w:cs="宋体" w:hint="eastAsia"/>
                <w:kern w:val="0"/>
                <w:sz w:val="20"/>
                <w:szCs w:val="20"/>
              </w:rPr>
              <w:t>三、</w:t>
            </w:r>
          </w:p>
          <w:p>
            <w:pPr>
              <w:widowControl/>
              <w:rPr>
                <w:rFonts w:ascii="宋体" w:eastAsia="宋体" w:cs="宋体"/>
                <w:kern w:val="0"/>
                <w:sz w:val="24"/>
                <w:szCs w:val="24"/>
              </w:rPr>
            </w:pPr>
            <w:r>
              <w:rPr>
                <w:rFonts w:ascii="宋体" w:eastAsia="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（一）予以公开</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（二）部分公开</w:t>
            </w:r>
            <w:r>
              <w:rPr>
                <w:rFonts w:ascii="楷体" w:eastAsia="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cs="宋体" w:hint="eastAsia"/>
                <w:kern w:val="0"/>
                <w:sz w:val="20"/>
                <w:szCs w:val="20"/>
              </w:rPr>
              <w:t>（三）不予公开</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1.属于国家秘密</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3.危及“三安全一稳定”</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4.保护第三方合法权益</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5.属于三类内部事务信息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6.属于四类过程性信息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84"/>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7.属于行政执法案卷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49"/>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8.属于行政查询事项</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（四）无法提供</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68"/>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（五）不予处理</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667"/>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2.重复申请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705"/>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680"/>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704"/>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（六）其他处理</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tcBorders>
              <w:left w:val="nil"/>
              <w:right w:val="single" w:sz="8" w:space="0" w:color="auto"/>
            </w:tcBorders>
            <w:tcMar>
              <w:left w:w="108" w:type="dxa"/>
              <w:right w:w="108" w:type="dxa"/>
            </w:tcMar>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tcBorders>
              <w:left w:val="nil"/>
              <w:bottom w:val="single" w:sz="8" w:space="0" w:color="auto"/>
              <w:right w:val="single" w:sz="8" w:space="0" w:color="auto"/>
            </w:tcBorders>
            <w:tcMar>
              <w:left w:w="108" w:type="dxa"/>
              <w:right w:w="108" w:type="dxa"/>
            </w:tcMar>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3.其他</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544"/>
        </w:trPr>
        <w:tc>
          <w:tcPr>
            <w:vMerge/>
            <w:tcBorders>
              <w:top w:val="nil"/>
              <w:left w:val="single" w:sz="8" w:space="0" w:color="auto"/>
              <w:bottom w:val="single" w:sz="8" w:space="0" w:color="auto"/>
              <w:right w:val="single" w:sz="8" w:space="0" w:color="auto"/>
            </w:tcBorders>
            <w:vAlign w:val="center"/>
          </w:tcP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（七）总计</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r>
        <w:trPr>
          <w:trHeight w:val="650"/>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0"/>
                <w:szCs w:val="20"/>
              </w:rPr>
              <w:t>0</w:t>
            </w:r>
          </w:p>
        </w:tc>
      </w:tr>
    </w:tbl>
    <w:p>
      <w:pPr>
        <w:numPr>
          <w:ilvl w:val="0"/>
          <w:numId w:val="1"/>
        </w:numPr>
        <w:ind w:left="0" w:firstLineChars="200" w:firstLine="480"/>
        <w:rPr>
          <w:rFonts w:ascii="宋体" w:eastAsia="宋体" w:cs="宋体"/>
          <w:b/>
          <w:bCs/>
          <w:sz w:val="24"/>
          <w:szCs w:val="24"/>
        </w:rPr>
      </w:pPr>
      <w:r>
        <w:rPr>
          <w:rFonts w:ascii="宋体" w:eastAsia="宋体" w:cs="宋体" w:hint="eastAsia"/>
          <w:b/>
          <w:bCs/>
          <w:sz w:val="24"/>
          <w:szCs w:val="24"/>
        </w:rPr>
        <w:t>政府信息公开行政复议、行政诉讼情况</w:t>
      </w:r>
    </w:p>
    <w:tbl>
      <w:tblPr>
        <w:jc w:val="center"/>
        <w:tblW w:w="9071"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行政诉讼</w:t>
            </w:r>
          </w:p>
        </w:tc>
      </w:tr>
      <w:t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复议后起诉</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tcW w:w="550"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总计</w:t>
            </w:r>
          </w:p>
        </w:tc>
      </w:tr>
      <w:tr>
        <w:trPr>
          <w:trHeight w:val="696"/>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550"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kern w:val="0"/>
                <w:sz w:val="20"/>
                <w:szCs w:val="20"/>
              </w:rPr>
              <w:t>0</w:t>
            </w:r>
          </w:p>
        </w:tc>
      </w:tr>
    </w:tbl>
    <w:p>
      <w:pPr>
        <w:ind w:firstLineChars="200" w:firstLine="420"/>
      </w:pPr>
      <w:r>
        <w:t>五、存在的主要问题及改进情况</w:t>
      </w:r>
    </w:p>
    <w:p>
      <w:pPr>
        <w:ind w:firstLineChars="200" w:firstLine="420"/>
      </w:pPr>
      <w:r>
        <w:t>2021年，政府信息公开工作虽然取得了一定进展，但工作的力度、深度和广度与《条例》的规定、公众的需求相比还有一定</w:t>
      </w:r>
      <w:bookmarkStart w:id="0" w:name="_GoBack"/>
      <w:bookmarkEnd w:id="0"/>
      <w:r>
        <w:t>差距。主要表现在：一是栏目更新不及时，公开内容不够全面；二是主动公开的深度与广度仍有待于进一步扩大；三是工作研讨、交流不够，整体水平还有待进一步提高。</w:t>
      </w:r>
    </w:p>
    <w:p/>
    <w:p>
      <w:r>
        <w:t>下一步我们将着重开展以下工作：</w:t>
      </w:r>
    </w:p>
    <w:p>
      <w:pPr>
        <w:ind w:firstLineChars="200" w:firstLine="420"/>
      </w:pPr>
      <w:r>
        <w:t>(一)健全管理体系。切实把政府信息公开工作纳入重要议事日程，进一步明确各部门落实专门管理科室，明确具体工作人员，按照“谁主管谁负责、谁发布谁负责”的原则，强化管理和责任并落实到人。</w:t>
      </w:r>
    </w:p>
    <w:p>
      <w:pPr>
        <w:ind w:firstLineChars="200" w:firstLine="420"/>
      </w:pPr>
      <w:r>
        <w:t>(二)拓展渠道，丰富形式。要继续加强政府网站建设，扩大政府网站公开政府信息的窗口作用；积极开拓新的政府信息发布渠道，不断提高政府信息公开的影响力；加强公共查阅点建设，充分利用政务服务大厅、档案馆等现有载体，全方位、多渠道为公民、法人和其他组织提供优质、高效的政府信息公开服务。</w:t>
      </w:r>
    </w:p>
    <w:p>
      <w:pPr>
        <w:ind w:firstLineChars="200" w:firstLine="420"/>
      </w:pPr>
      <w:r>
        <w:t>(三)加强监督检查。通过网上浏览、实地检查对“政府信息公开目录”进行自查自纠，增强录入质量、补录缺失信息，对存在的问题立即整改。</w:t>
      </w:r>
    </w:p>
    <w:p>
      <w:pPr>
        <w:ind w:firstLineChars="200" w:firstLine="420"/>
      </w:pPr>
      <w:r>
        <w:t>(四)加大政府信息公开工作力度。一是围绕社会广泛关注、事关群众切身利益的重大事项，扩大信息公开的数量和范围。二是抓好化解社会矛盾和解决重大事故、事件的政务公开工作，进一步畅通群众表达诉求、反映意见、解决问题的途径。在重大事故、事件的处理上，要按照及时准确、公开透明的要求上报和发布权威信息，公布事实真相，全面客观介绍事件进展情况、政府举措和公众防范措施。三是不断完善政府信息依申请公开的受理机制，规范工作规程。明确申请的受理、审查、处理、答复等各个环节的具体要求。要建立内部沟通协调机制，合理设置工作程序，明确责任分工，确保该公开的事项都能够公开。特别是要依法妥善处理涉及敏感问题的政府信息公开申请，保障申请人的合法权益。四是正确处理公开与保密的关系，进一步健全保密审查机制，加强相关部门之间及行政机关内部的协调配合，既要防止不当扩大保密范围，又要防止泄密事件的发生。</w:t>
      </w:r>
    </w:p>
    <w:p>
      <w:pPr>
        <w:ind w:firstLineChars="200" w:firstLine="420"/>
      </w:pPr>
      <w:r>
        <w:t>六、其他需要报告的事项</w:t>
      </w:r>
    </w:p>
    <w:p>
      <w:pPr>
        <w:ind w:firstLineChars="200" w:firstLine="420"/>
      </w:pPr>
      <w:r>
        <w:t>无</w:t>
      </w:r>
    </w:p>
    <w:p>
      <w:pPr>
        <w:jc w:val="right"/>
        <w:rPr>
          <w:rFonts w:ascii="宋体" w:eastAsia="宋体" w:cs="宋体"/>
          <w:sz w:val="24"/>
          <w:szCs w:val="24"/>
        </w:rPr>
      </w:pPr>
      <w:r>
        <w:t>2022年1月1日</w:t>
      </w:r>
    </w:p>
    <w:sectPr>
      <w:pgSz w:w="11907" w:h="16840"/>
      <w:pgMar w:top="1134" w:right="851" w:bottom="851"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04075A3"/>
    <w:multiLevelType w:val="singleLevel"/>
    <w:tmpl w:val="704075A3"/>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301</TotalTime>
  <Application>Yozo_Office</Application>
  <Pages>4</Pages>
  <Words>3006</Words>
  <Characters>3365</Characters>
  <Lines>486</Lines>
  <Paragraphs>319</Paragraphs>
  <CharactersWithSpaces>3373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lx</cp:lastModifiedBy>
  <cp:revision>74</cp:revision>
  <cp:lastPrinted>2021-01-14T07:20:00Z</cp:lastPrinted>
  <dcterms:created xsi:type="dcterms:W3CDTF">2021-01-09T06:07:00Z</dcterms:created>
  <dcterms:modified xsi:type="dcterms:W3CDTF">2022-02-18T02:15:30Z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97FEFCB10DA14C8C9B7E747115EE5E50</vt:lpwstr>
  </property>
</Properties>
</file>