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50" w:rsidRDefault="00B01650">
      <w:pPr>
        <w:jc w:val="center"/>
        <w:rPr>
          <w:rFonts w:asciiTheme="majorEastAsia" w:eastAsiaTheme="majorEastAsia" w:hAnsiTheme="majorEastAsia" w:cstheme="majorEastAsia"/>
          <w:b/>
          <w:bCs/>
          <w:color w:val="FF0000"/>
          <w:sz w:val="72"/>
          <w:szCs w:val="144"/>
        </w:rPr>
      </w:pPr>
      <w:r w:rsidRPr="00B01650">
        <w:rPr>
          <w:rFonts w:asciiTheme="majorEastAsia" w:eastAsiaTheme="majorEastAsia" w:hAnsiTheme="majorEastAsia" w:cstheme="majorEastAsia"/>
          <w:b/>
          <w:bCs/>
          <w:sz w:val="72"/>
        </w:rPr>
        <w:pict>
          <v:line id="直接连接符 1" o:spid="_x0000_s2050" style="position:absolute;left:0;text-align:left;z-index:251659264" from="1.8pt,49.6pt" to="418.05pt,49.6pt" o:gfxdata="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qTWALUAAAABwEA&#10;AA8AAAAAAAAAAQAgAAAAIgAAAGRycy9kb3ducmV2LnhtbFBLAQIUABQAAAAIAIdO4kBVNEtB5QEA&#10;AKcDAAAOAAAAAAAAAAEAIAAAACMBAABkcnMvZTJvRG9jLnhtbFBLBQYAAAAABgAGAFkBAAB6BQAA&#10;AAA=&#10;" strokecolor="red" strokeweight="2.25pt"/>
        </w:pict>
      </w:r>
      <w:r w:rsidR="008405E4">
        <w:rPr>
          <w:rFonts w:asciiTheme="majorEastAsia" w:eastAsiaTheme="majorEastAsia" w:hAnsiTheme="majorEastAsia" w:cstheme="majorEastAsia" w:hint="eastAsia"/>
          <w:b/>
          <w:bCs/>
          <w:color w:val="FF0000"/>
          <w:sz w:val="72"/>
          <w:szCs w:val="144"/>
        </w:rPr>
        <w:t>吉林省信用信息服务中心</w:t>
      </w:r>
    </w:p>
    <w:p w:rsidR="00B01650" w:rsidRDefault="00B01650">
      <w:pPr>
        <w:rPr>
          <w:rFonts w:ascii="黑体" w:eastAsia="黑体"/>
          <w:color w:val="FF0000"/>
          <w:sz w:val="44"/>
          <w:szCs w:val="44"/>
          <w:u w:val="double"/>
        </w:rPr>
      </w:pPr>
    </w:p>
    <w:p w:rsidR="00B01650" w:rsidRDefault="008405E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关于对吉林省各市州</w:t>
      </w:r>
      <w:r>
        <w:rPr>
          <w:rFonts w:ascii="黑体" w:eastAsia="黑体" w:hint="eastAsia"/>
          <w:sz w:val="44"/>
          <w:szCs w:val="44"/>
        </w:rPr>
        <w:t>2021</w:t>
      </w:r>
      <w:r>
        <w:rPr>
          <w:rFonts w:ascii="黑体" w:eastAsia="黑体" w:hint="eastAsia"/>
          <w:sz w:val="44"/>
          <w:szCs w:val="44"/>
        </w:rPr>
        <w:t>年第一季度</w:t>
      </w:r>
    </w:p>
    <w:p w:rsidR="00B01650" w:rsidRDefault="008405E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“双公示”评估的通知</w:t>
      </w:r>
    </w:p>
    <w:p w:rsidR="00B01650" w:rsidRDefault="00B01650">
      <w:pPr>
        <w:jc w:val="center"/>
        <w:rPr>
          <w:rFonts w:ascii="黑体" w:eastAsia="黑体"/>
          <w:sz w:val="44"/>
          <w:szCs w:val="44"/>
        </w:rPr>
      </w:pPr>
    </w:p>
    <w:p w:rsidR="00B01650" w:rsidRDefault="008405E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各市（州）社会信用体系建设牵头部门：</w:t>
      </w:r>
    </w:p>
    <w:p w:rsidR="00B01650" w:rsidRDefault="008405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为做好国家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年第一季对吉林省“双公示”工作评估工作，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在省政务服务和数字化建设管理局信用体系建设处的部署下，</w:t>
      </w:r>
      <w:r w:rsidR="0033507C">
        <w:rPr>
          <w:rFonts w:ascii="仿宋" w:eastAsia="仿宋" w:hAnsi="仿宋" w:cs="Times New Roman" w:hint="eastAsia"/>
          <w:color w:val="000000"/>
          <w:sz w:val="32"/>
          <w:szCs w:val="32"/>
        </w:rPr>
        <w:t>省信用信息服务中心协同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第三方评</w:t>
      </w:r>
      <w:r w:rsidR="0033507C">
        <w:rPr>
          <w:rFonts w:ascii="仿宋" w:eastAsia="仿宋" w:hAnsi="仿宋" w:cs="Times New Roman" w:hint="eastAsia"/>
          <w:color w:val="000000"/>
          <w:sz w:val="32"/>
          <w:szCs w:val="32"/>
        </w:rPr>
        <w:t>估机构联合信用征信股份有限公司对吉林省各市州的“双公示”工作开展省内自查评估。根据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年第一季度国家“双公示”工作评估指标</w:t>
      </w:r>
      <w:r w:rsidR="0033507C">
        <w:rPr>
          <w:rFonts w:ascii="仿宋" w:eastAsia="仿宋" w:hAnsi="仿宋" w:cs="Times New Roman" w:hint="eastAsia"/>
          <w:color w:val="000000"/>
          <w:sz w:val="32"/>
          <w:szCs w:val="32"/>
        </w:rPr>
        <w:t>制定《吉林省2021年第一季度</w:t>
      </w:r>
      <w:r w:rsidR="00896AE7">
        <w:rPr>
          <w:rFonts w:ascii="仿宋" w:eastAsia="仿宋" w:hAnsi="仿宋" w:cs="Times New Roman" w:hint="eastAsia"/>
          <w:color w:val="000000"/>
          <w:sz w:val="32"/>
          <w:szCs w:val="32"/>
        </w:rPr>
        <w:t>“双公示”工作评估指标》，从数据数量、数据质量、规范高效、同步更新、基础工作等五个方面</w:t>
      </w:r>
      <w:r>
        <w:rPr>
          <w:rFonts w:ascii="仿宋" w:eastAsia="仿宋" w:hAnsi="仿宋" w:hint="eastAsia"/>
          <w:sz w:val="32"/>
          <w:szCs w:val="32"/>
        </w:rPr>
        <w:t>对各市、州采取线下评估方式，县级市采取线上评估方式。具体要求如下：</w:t>
      </w:r>
    </w:p>
    <w:p w:rsidR="00896AE7" w:rsidRDefault="00896AE7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各地区要高度重视此次评估工作，要加强领导，认真组织实施工作，积极做好“双公示”评估支持和保障工作，及时查漏补缺，全面整改提升。</w:t>
      </w:r>
    </w:p>
    <w:p w:rsidR="00B01650" w:rsidRDefault="008405E4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认真梳理本辖区</w:t>
      </w:r>
      <w:r w:rsidR="00896AE7">
        <w:rPr>
          <w:rFonts w:ascii="仿宋" w:eastAsia="仿宋" w:hAnsi="仿宋" w:hint="eastAsia"/>
          <w:sz w:val="32"/>
          <w:szCs w:val="32"/>
        </w:rPr>
        <w:t>各部门</w:t>
      </w:r>
      <w:r>
        <w:rPr>
          <w:rFonts w:ascii="仿宋" w:eastAsia="仿宋" w:hAnsi="仿宋" w:hint="eastAsia"/>
          <w:sz w:val="32"/>
          <w:szCs w:val="32"/>
        </w:rPr>
        <w:t>“双公示”台账，</w:t>
      </w:r>
      <w:r w:rsidR="00896AE7">
        <w:rPr>
          <w:rFonts w:ascii="仿宋" w:eastAsia="仿宋" w:hAnsi="仿宋" w:hint="eastAsia"/>
          <w:sz w:val="32"/>
          <w:szCs w:val="32"/>
        </w:rPr>
        <w:t>按规定时间上报，</w:t>
      </w:r>
      <w:r>
        <w:rPr>
          <w:rFonts w:ascii="仿宋" w:eastAsia="仿宋" w:hAnsi="仿宋" w:hint="eastAsia"/>
          <w:sz w:val="32"/>
          <w:szCs w:val="32"/>
        </w:rPr>
        <w:t>时间从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B01650" w:rsidRDefault="008405E4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在省内“双公示”自查评估过程中，严谨作假、虚报、</w:t>
      </w:r>
      <w:r>
        <w:rPr>
          <w:rFonts w:ascii="仿宋" w:eastAsia="仿宋" w:hAnsi="仿宋" w:hint="eastAsia"/>
          <w:sz w:val="32"/>
          <w:szCs w:val="32"/>
        </w:rPr>
        <w:t>漏报、瞒报</w:t>
      </w:r>
      <w:r>
        <w:rPr>
          <w:rFonts w:ascii="仿宋" w:eastAsia="仿宋" w:hAnsi="仿宋" w:hint="eastAsia"/>
          <w:sz w:val="32"/>
          <w:szCs w:val="32"/>
        </w:rPr>
        <w:t>，积极配合第三方评估机构评估工作。</w:t>
      </w:r>
    </w:p>
    <w:p w:rsidR="00B01650" w:rsidRDefault="008405E4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通过本次评估，要求各地全面梳理“双公示”工作，从目录梳理、</w:t>
      </w:r>
      <w:r w:rsidR="00E80BFC">
        <w:rPr>
          <w:rFonts w:ascii="仿宋" w:eastAsia="仿宋" w:hAnsi="仿宋" w:hint="eastAsia"/>
          <w:sz w:val="32"/>
          <w:szCs w:val="32"/>
        </w:rPr>
        <w:t>数据归集、数据质量、数据更新、</w:t>
      </w:r>
      <w:r>
        <w:rPr>
          <w:rFonts w:ascii="仿宋" w:eastAsia="仿宋" w:hAnsi="仿宋" w:hint="eastAsia"/>
          <w:sz w:val="32"/>
          <w:szCs w:val="32"/>
        </w:rPr>
        <w:t>网站公示、信用修复</w:t>
      </w:r>
      <w:r w:rsidR="00E80BFC">
        <w:rPr>
          <w:rFonts w:ascii="仿宋" w:eastAsia="仿宋" w:hAnsi="仿宋" w:hint="eastAsia"/>
          <w:sz w:val="32"/>
          <w:szCs w:val="32"/>
        </w:rPr>
        <w:t>及异议数据同步</w:t>
      </w:r>
      <w:r>
        <w:rPr>
          <w:rFonts w:ascii="仿宋" w:eastAsia="仿宋" w:hAnsi="仿宋" w:hint="eastAsia"/>
          <w:sz w:val="32"/>
          <w:szCs w:val="32"/>
        </w:rPr>
        <w:t>等相关工作</w:t>
      </w:r>
      <w:r w:rsidR="00E80BFC">
        <w:rPr>
          <w:rFonts w:ascii="仿宋" w:eastAsia="仿宋" w:hAnsi="仿宋" w:hint="eastAsia"/>
          <w:sz w:val="32"/>
          <w:szCs w:val="32"/>
        </w:rPr>
        <w:t>着手</w:t>
      </w:r>
      <w:r>
        <w:rPr>
          <w:rFonts w:ascii="仿宋" w:eastAsia="仿宋" w:hAnsi="仿宋" w:hint="eastAsia"/>
          <w:sz w:val="32"/>
          <w:szCs w:val="32"/>
        </w:rPr>
        <w:t>，逐项排查应做尽做，应公示尽公示。</w:t>
      </w:r>
    </w:p>
    <w:p w:rsidR="00B01650" w:rsidRDefault="008405E4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theme="majorEastAsia" w:hint="eastAsia"/>
          <w:sz w:val="32"/>
          <w:szCs w:val="32"/>
        </w:rPr>
        <w:t>需要各地各部门提供的相关材料按规定时间发送到邮箱</w:t>
      </w:r>
      <w:r>
        <w:rPr>
          <w:rFonts w:ascii="仿宋" w:eastAsia="仿宋" w:hAnsi="仿宋" w:cstheme="majorEastAsia" w:hint="eastAsia"/>
          <w:sz w:val="32"/>
          <w:szCs w:val="32"/>
        </w:rPr>
        <w:t>（</w:t>
      </w:r>
      <w:hyperlink r:id="rId8" w:history="1">
        <w:r>
          <w:rPr>
            <w:rStyle w:val="a8"/>
            <w:rFonts w:ascii="仿宋" w:eastAsia="仿宋" w:hAnsi="仿宋" w:cstheme="majorEastAsia" w:hint="eastAsia"/>
            <w:color w:val="auto"/>
            <w:sz w:val="32"/>
            <w:szCs w:val="32"/>
            <w:u w:val="none"/>
          </w:rPr>
          <w:t>xinyongxinxi@126.com</w:t>
        </w:r>
        <w:r>
          <w:rPr>
            <w:rStyle w:val="a8"/>
            <w:rFonts w:ascii="仿宋" w:eastAsia="仿宋" w:hAnsi="仿宋" w:cstheme="majorEastAsia" w:hint="eastAsia"/>
            <w:color w:val="auto"/>
            <w:sz w:val="32"/>
            <w:szCs w:val="32"/>
            <w:u w:val="none"/>
          </w:rPr>
          <w:t>），以邮箱接收日期为准</w:t>
        </w:r>
        <w:r>
          <w:rPr>
            <w:rStyle w:val="a8"/>
            <w:rFonts w:ascii="仿宋" w:eastAsia="仿宋" w:hAnsi="仿宋" w:cstheme="majorEastAsia" w:hint="eastAsia"/>
            <w:color w:val="auto"/>
            <w:sz w:val="32"/>
            <w:szCs w:val="32"/>
            <w:u w:val="none"/>
          </w:rPr>
          <w:t>.(2021</w:t>
        </w:r>
      </w:hyperlink>
      <w:r>
        <w:rPr>
          <w:rFonts w:ascii="仿宋" w:eastAsia="仿宋" w:hAnsi="仿宋" w:cstheme="majorEastAsia" w:hint="eastAsia"/>
          <w:sz w:val="32"/>
          <w:szCs w:val="32"/>
        </w:rPr>
        <w:t>年</w:t>
      </w:r>
      <w:r>
        <w:rPr>
          <w:rFonts w:ascii="仿宋" w:eastAsia="仿宋" w:hAnsi="仿宋" w:cstheme="majorEastAsia" w:hint="eastAsia"/>
          <w:sz w:val="32"/>
          <w:szCs w:val="32"/>
        </w:rPr>
        <w:t>4</w:t>
      </w:r>
      <w:r>
        <w:rPr>
          <w:rFonts w:ascii="仿宋" w:eastAsia="仿宋" w:hAnsi="仿宋" w:cstheme="majorEastAsia" w:hint="eastAsia"/>
          <w:sz w:val="32"/>
          <w:szCs w:val="32"/>
        </w:rPr>
        <w:t>月</w:t>
      </w:r>
      <w:r>
        <w:rPr>
          <w:rFonts w:ascii="仿宋" w:eastAsia="仿宋" w:hAnsi="仿宋" w:cstheme="majorEastAsia" w:hint="eastAsia"/>
          <w:sz w:val="32"/>
          <w:szCs w:val="32"/>
        </w:rPr>
        <w:t>23</w:t>
      </w:r>
      <w:r>
        <w:rPr>
          <w:rFonts w:ascii="仿宋" w:eastAsia="仿宋" w:hAnsi="仿宋" w:cstheme="majorEastAsia" w:hint="eastAsia"/>
          <w:sz w:val="32"/>
          <w:szCs w:val="32"/>
        </w:rPr>
        <w:t>日前</w:t>
      </w:r>
      <w:r>
        <w:rPr>
          <w:rFonts w:ascii="仿宋" w:eastAsia="仿宋" w:hAnsi="仿宋" w:cstheme="majorEastAsia" w:hint="eastAsia"/>
          <w:sz w:val="32"/>
          <w:szCs w:val="32"/>
        </w:rPr>
        <w:t>)</w:t>
      </w:r>
    </w:p>
    <w:p w:rsidR="00B01650" w:rsidRDefault="008405E4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吉林省“双公示”第三方信用服务机构评估时间安排如下。</w:t>
      </w:r>
    </w:p>
    <w:tbl>
      <w:tblPr>
        <w:tblStyle w:val="a7"/>
        <w:tblpPr w:leftFromText="180" w:rightFromText="180" w:vertAnchor="text" w:horzAnchor="page" w:tblpX="3543" w:tblpY="134"/>
        <w:tblOverlap w:val="never"/>
        <w:tblW w:w="0" w:type="auto"/>
        <w:tblLook w:val="04A0"/>
      </w:tblPr>
      <w:tblGrid>
        <w:gridCol w:w="1530"/>
        <w:gridCol w:w="1395"/>
        <w:gridCol w:w="1320"/>
        <w:gridCol w:w="1170"/>
      </w:tblGrid>
      <w:tr w:rsidR="00B01650">
        <w:tc>
          <w:tcPr>
            <w:tcW w:w="153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b/>
                <w:bCs/>
                <w:szCs w:val="21"/>
              </w:rPr>
            </w:pPr>
            <w:r>
              <w:rPr>
                <w:rFonts w:ascii="仿宋" w:eastAsia="仿宋" w:hAnsi="仿宋" w:cstheme="majorEastAsia" w:hint="eastAsia"/>
                <w:b/>
                <w:bCs/>
                <w:szCs w:val="21"/>
              </w:rPr>
              <w:t>评估日期</w:t>
            </w:r>
          </w:p>
        </w:tc>
        <w:tc>
          <w:tcPr>
            <w:tcW w:w="1395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b/>
                <w:bCs/>
                <w:szCs w:val="21"/>
              </w:rPr>
            </w:pPr>
            <w:r>
              <w:rPr>
                <w:rFonts w:ascii="仿宋" w:eastAsia="仿宋" w:hAnsi="仿宋" w:cstheme="majorEastAsia" w:hint="eastAsia"/>
                <w:b/>
                <w:bCs/>
                <w:szCs w:val="21"/>
              </w:rPr>
              <w:t>评估地区</w:t>
            </w:r>
          </w:p>
        </w:tc>
        <w:tc>
          <w:tcPr>
            <w:tcW w:w="132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b/>
                <w:bCs/>
                <w:szCs w:val="21"/>
              </w:rPr>
            </w:pPr>
            <w:r>
              <w:rPr>
                <w:rFonts w:ascii="仿宋" w:eastAsia="仿宋" w:hAnsi="仿宋" w:cstheme="majorEastAsia" w:hint="eastAsia"/>
                <w:b/>
                <w:bCs/>
                <w:szCs w:val="21"/>
              </w:rPr>
              <w:t>评估日期</w:t>
            </w:r>
          </w:p>
        </w:tc>
        <w:tc>
          <w:tcPr>
            <w:tcW w:w="117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b/>
                <w:bCs/>
                <w:szCs w:val="21"/>
              </w:rPr>
            </w:pPr>
            <w:r>
              <w:rPr>
                <w:rFonts w:ascii="仿宋" w:eastAsia="仿宋" w:hAnsi="仿宋" w:cstheme="majorEastAsia" w:hint="eastAsia"/>
                <w:b/>
                <w:bCs/>
                <w:szCs w:val="21"/>
              </w:rPr>
              <w:t>评估地区</w:t>
            </w:r>
          </w:p>
        </w:tc>
      </w:tr>
      <w:tr w:rsidR="00B01650">
        <w:tc>
          <w:tcPr>
            <w:tcW w:w="153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4.19</w:t>
            </w:r>
          </w:p>
        </w:tc>
        <w:tc>
          <w:tcPr>
            <w:tcW w:w="1395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延边</w:t>
            </w:r>
            <w:r>
              <w:rPr>
                <w:rFonts w:ascii="仿宋" w:eastAsia="仿宋" w:hAnsi="仿宋" w:cstheme="majorEastAsia" w:hint="eastAsia"/>
                <w:szCs w:val="21"/>
              </w:rPr>
              <w:t>州</w:t>
            </w:r>
          </w:p>
        </w:tc>
        <w:tc>
          <w:tcPr>
            <w:tcW w:w="132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4.2</w:t>
            </w:r>
            <w:r>
              <w:rPr>
                <w:rFonts w:ascii="仿宋" w:eastAsia="仿宋" w:hAnsi="仿宋" w:cstheme="majorEastAsia" w:hint="eastAsia"/>
                <w:szCs w:val="21"/>
              </w:rPr>
              <w:t>6</w:t>
            </w:r>
          </w:p>
        </w:tc>
        <w:tc>
          <w:tcPr>
            <w:tcW w:w="117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白城市</w:t>
            </w:r>
          </w:p>
        </w:tc>
      </w:tr>
      <w:tr w:rsidR="00B01650">
        <w:tc>
          <w:tcPr>
            <w:tcW w:w="153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4.20</w:t>
            </w:r>
          </w:p>
        </w:tc>
        <w:tc>
          <w:tcPr>
            <w:tcW w:w="1395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长春市</w:t>
            </w:r>
          </w:p>
        </w:tc>
        <w:tc>
          <w:tcPr>
            <w:tcW w:w="132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4.2</w:t>
            </w:r>
            <w:r>
              <w:rPr>
                <w:rFonts w:ascii="仿宋" w:eastAsia="仿宋" w:hAnsi="仿宋" w:cstheme="majorEastAsia" w:hint="eastAsia"/>
                <w:szCs w:val="21"/>
              </w:rPr>
              <w:t>7</w:t>
            </w:r>
          </w:p>
        </w:tc>
        <w:tc>
          <w:tcPr>
            <w:tcW w:w="117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吉林市</w:t>
            </w:r>
          </w:p>
        </w:tc>
      </w:tr>
      <w:tr w:rsidR="00B01650">
        <w:tc>
          <w:tcPr>
            <w:tcW w:w="153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4.21</w:t>
            </w:r>
          </w:p>
        </w:tc>
        <w:tc>
          <w:tcPr>
            <w:tcW w:w="1395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白山市</w:t>
            </w:r>
          </w:p>
        </w:tc>
        <w:tc>
          <w:tcPr>
            <w:tcW w:w="132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4.2</w:t>
            </w:r>
            <w:r>
              <w:rPr>
                <w:rFonts w:ascii="仿宋" w:eastAsia="仿宋" w:hAnsi="仿宋" w:cstheme="majorEastAsia" w:hint="eastAsia"/>
                <w:szCs w:val="21"/>
              </w:rPr>
              <w:t>8</w:t>
            </w:r>
          </w:p>
        </w:tc>
        <w:tc>
          <w:tcPr>
            <w:tcW w:w="117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四平市</w:t>
            </w:r>
          </w:p>
        </w:tc>
      </w:tr>
      <w:tr w:rsidR="00B01650">
        <w:tc>
          <w:tcPr>
            <w:tcW w:w="153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4.22</w:t>
            </w:r>
          </w:p>
        </w:tc>
        <w:tc>
          <w:tcPr>
            <w:tcW w:w="1395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通化市</w:t>
            </w:r>
          </w:p>
        </w:tc>
        <w:tc>
          <w:tcPr>
            <w:tcW w:w="132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4.2</w:t>
            </w:r>
            <w:r>
              <w:rPr>
                <w:rFonts w:ascii="仿宋" w:eastAsia="仿宋" w:hAnsi="仿宋" w:cstheme="majorEastAsia" w:hint="eastAsia"/>
                <w:szCs w:val="21"/>
              </w:rPr>
              <w:t>9</w:t>
            </w:r>
          </w:p>
        </w:tc>
        <w:tc>
          <w:tcPr>
            <w:tcW w:w="117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辽源市</w:t>
            </w:r>
          </w:p>
        </w:tc>
      </w:tr>
      <w:tr w:rsidR="00B01650">
        <w:tc>
          <w:tcPr>
            <w:tcW w:w="1530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4.2</w:t>
            </w:r>
            <w:r>
              <w:rPr>
                <w:rFonts w:ascii="仿宋" w:eastAsia="仿宋" w:hAnsi="仿宋" w:cstheme="majorEastAsia" w:hint="eastAsia"/>
                <w:szCs w:val="21"/>
              </w:rPr>
              <w:t>3</w:t>
            </w:r>
          </w:p>
        </w:tc>
        <w:tc>
          <w:tcPr>
            <w:tcW w:w="1395" w:type="dxa"/>
          </w:tcPr>
          <w:p w:rsidR="00B01650" w:rsidRDefault="008405E4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  <w:r>
              <w:rPr>
                <w:rFonts w:ascii="仿宋" w:eastAsia="仿宋" w:hAnsi="仿宋" w:cstheme="majorEastAsia" w:hint="eastAsia"/>
                <w:szCs w:val="21"/>
              </w:rPr>
              <w:t>松原市</w:t>
            </w:r>
          </w:p>
        </w:tc>
        <w:tc>
          <w:tcPr>
            <w:tcW w:w="1320" w:type="dxa"/>
          </w:tcPr>
          <w:p w:rsidR="00B01650" w:rsidRDefault="00B01650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</w:p>
        </w:tc>
        <w:tc>
          <w:tcPr>
            <w:tcW w:w="1170" w:type="dxa"/>
          </w:tcPr>
          <w:p w:rsidR="00B01650" w:rsidRDefault="00B01650">
            <w:pPr>
              <w:spacing w:line="360" w:lineRule="auto"/>
              <w:jc w:val="center"/>
              <w:rPr>
                <w:rFonts w:ascii="仿宋" w:eastAsia="仿宋" w:hAnsi="仿宋" w:cstheme="majorEastAsia"/>
                <w:szCs w:val="21"/>
              </w:rPr>
            </w:pPr>
          </w:p>
        </w:tc>
      </w:tr>
    </w:tbl>
    <w:p w:rsidR="00B01650" w:rsidRDefault="00B01650">
      <w:pPr>
        <w:spacing w:line="360" w:lineRule="auto"/>
        <w:jc w:val="center"/>
        <w:rPr>
          <w:rFonts w:ascii="仿宋" w:eastAsia="仿宋" w:hAnsi="仿宋" w:cstheme="majorEastAsia"/>
          <w:szCs w:val="21"/>
        </w:rPr>
      </w:pPr>
    </w:p>
    <w:p w:rsidR="00B01650" w:rsidRDefault="00B01650">
      <w:pPr>
        <w:spacing w:line="360" w:lineRule="auto"/>
        <w:jc w:val="center"/>
        <w:rPr>
          <w:rFonts w:ascii="仿宋" w:eastAsia="仿宋" w:hAnsi="仿宋" w:cstheme="majorEastAsia"/>
          <w:szCs w:val="21"/>
        </w:rPr>
      </w:pPr>
    </w:p>
    <w:p w:rsidR="00B01650" w:rsidRDefault="00B01650">
      <w:pPr>
        <w:spacing w:line="360" w:lineRule="auto"/>
        <w:rPr>
          <w:rFonts w:ascii="仿宋" w:eastAsia="仿宋" w:hAnsi="仿宋" w:cstheme="majorEastAsia"/>
          <w:szCs w:val="21"/>
        </w:rPr>
      </w:pPr>
    </w:p>
    <w:p w:rsidR="00B01650" w:rsidRDefault="00B01650">
      <w:pPr>
        <w:spacing w:line="360" w:lineRule="auto"/>
        <w:rPr>
          <w:rFonts w:ascii="仿宋" w:eastAsia="仿宋" w:hAnsi="仿宋" w:cstheme="majorEastAsia"/>
          <w:szCs w:val="21"/>
        </w:rPr>
      </w:pPr>
    </w:p>
    <w:p w:rsidR="00B01650" w:rsidRDefault="00B01650">
      <w:pPr>
        <w:rPr>
          <w:rFonts w:ascii="仿宋" w:eastAsia="仿宋" w:hAnsi="仿宋" w:cs="Times New Roman"/>
          <w:color w:val="000000"/>
          <w:sz w:val="32"/>
          <w:szCs w:val="32"/>
        </w:rPr>
      </w:pPr>
    </w:p>
    <w:p w:rsidR="00B01650" w:rsidRDefault="00B01650">
      <w:pPr>
        <w:rPr>
          <w:rFonts w:ascii="仿宋" w:eastAsia="仿宋" w:hAnsi="仿宋" w:cs="Times New Roman"/>
          <w:color w:val="000000"/>
          <w:sz w:val="32"/>
          <w:szCs w:val="32"/>
        </w:rPr>
      </w:pPr>
    </w:p>
    <w:p w:rsidR="00B01650" w:rsidRDefault="00B01650">
      <w:pPr>
        <w:pStyle w:val="a9"/>
        <w:spacing w:line="360" w:lineRule="auto"/>
        <w:ind w:firstLineChars="0" w:firstLine="0"/>
        <w:rPr>
          <w:rFonts w:ascii="仿宋" w:eastAsia="仿宋" w:hAnsi="仿宋" w:cstheme="majorEastAsia"/>
          <w:sz w:val="32"/>
          <w:szCs w:val="32"/>
        </w:rPr>
      </w:pPr>
    </w:p>
    <w:p w:rsidR="00B01650" w:rsidRDefault="008405E4">
      <w:pPr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附件：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年第一季度“双公示”工作吉林省评估指标</w:t>
      </w:r>
    </w:p>
    <w:p w:rsidR="00B01650" w:rsidRDefault="008405E4">
      <w:pPr>
        <w:ind w:leftChars="456" w:left="1278" w:hangingChars="100" w:hanging="32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吉林省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年第一季度“双公示”评估市（州）填报材料</w:t>
      </w:r>
    </w:p>
    <w:p w:rsidR="00B01650" w:rsidRDefault="008405E4">
      <w:pPr>
        <w:ind w:leftChars="456" w:left="1278" w:hangingChars="100" w:hanging="32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吉林省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年第一季度“双公示”评估被抽查部门提供资料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/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信息确认单</w:t>
      </w:r>
    </w:p>
    <w:p w:rsidR="00B01650" w:rsidRDefault="008405E4">
      <w:pPr>
        <w:ind w:firstLineChars="300" w:firstLine="960"/>
        <w:rPr>
          <w:rFonts w:ascii="仿宋" w:eastAsia="仿宋" w:hAnsi="仿宋" w:cstheme="majorEastAsia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4.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《信用承诺书（模板）》</w:t>
      </w:r>
    </w:p>
    <w:p w:rsidR="00B01650" w:rsidRDefault="00B01650">
      <w:pPr>
        <w:spacing w:line="360" w:lineRule="auto"/>
        <w:rPr>
          <w:rFonts w:ascii="仿宋" w:eastAsia="仿宋" w:hAnsi="仿宋" w:cstheme="majorEastAsia"/>
          <w:szCs w:val="21"/>
        </w:rPr>
      </w:pPr>
    </w:p>
    <w:p w:rsidR="00B01650" w:rsidRDefault="008405E4">
      <w:pPr>
        <w:spacing w:line="360" w:lineRule="auto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吉林省信用信息服务中心</w:t>
      </w:r>
    </w:p>
    <w:p w:rsidR="00B01650" w:rsidRDefault="008405E4">
      <w:pPr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01650" w:rsidRDefault="00B01650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B01650" w:rsidRDefault="008405E4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（联系人：修海燕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王维正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82007536  82007537</w:t>
      </w:r>
      <w:r>
        <w:rPr>
          <w:rFonts w:ascii="仿宋" w:eastAsia="仿宋" w:hAnsi="仿宋" w:hint="eastAsia"/>
          <w:sz w:val="32"/>
          <w:szCs w:val="32"/>
        </w:rPr>
        <w:t>）</w:t>
      </w:r>
    </w:p>
    <w:sectPr w:rsidR="00B01650" w:rsidSect="00B0165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E4" w:rsidRDefault="008405E4" w:rsidP="00B01650">
      <w:r>
        <w:separator/>
      </w:r>
    </w:p>
  </w:endnote>
  <w:endnote w:type="continuationSeparator" w:id="0">
    <w:p w:rsidR="008405E4" w:rsidRDefault="008405E4" w:rsidP="00B01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50" w:rsidRDefault="00B0165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B01650" w:rsidRDefault="00B01650">
                <w:pPr>
                  <w:pStyle w:val="a4"/>
                </w:pPr>
                <w:r>
                  <w:fldChar w:fldCharType="begin"/>
                </w:r>
                <w:r w:rsidR="008405E4">
                  <w:instrText xml:space="preserve"> PAGE  \* MERGEFORMAT </w:instrText>
                </w:r>
                <w:r>
                  <w:fldChar w:fldCharType="separate"/>
                </w:r>
                <w:r w:rsidR="00E80BF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E4" w:rsidRDefault="008405E4" w:rsidP="00B01650">
      <w:r>
        <w:separator/>
      </w:r>
    </w:p>
  </w:footnote>
  <w:footnote w:type="continuationSeparator" w:id="0">
    <w:p w:rsidR="008405E4" w:rsidRDefault="008405E4" w:rsidP="00B01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2A1C"/>
    <w:multiLevelType w:val="singleLevel"/>
    <w:tmpl w:val="4D3A2A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</w:compat>
  <w:rsids>
    <w:rsidRoot w:val="009100C9"/>
    <w:rsid w:val="0013312A"/>
    <w:rsid w:val="0031205A"/>
    <w:rsid w:val="00324745"/>
    <w:rsid w:val="0033507C"/>
    <w:rsid w:val="005F132B"/>
    <w:rsid w:val="008405E4"/>
    <w:rsid w:val="00896AE7"/>
    <w:rsid w:val="009100C9"/>
    <w:rsid w:val="00B01650"/>
    <w:rsid w:val="00BA4079"/>
    <w:rsid w:val="00D75C02"/>
    <w:rsid w:val="00E80BFC"/>
    <w:rsid w:val="01436CE8"/>
    <w:rsid w:val="01782684"/>
    <w:rsid w:val="017D08D9"/>
    <w:rsid w:val="02581A88"/>
    <w:rsid w:val="036423B3"/>
    <w:rsid w:val="03DE14EC"/>
    <w:rsid w:val="04962A29"/>
    <w:rsid w:val="055029A5"/>
    <w:rsid w:val="055F7197"/>
    <w:rsid w:val="07AF3D77"/>
    <w:rsid w:val="08264CC5"/>
    <w:rsid w:val="08430582"/>
    <w:rsid w:val="0BB1290F"/>
    <w:rsid w:val="0CC53B42"/>
    <w:rsid w:val="0D5E63CA"/>
    <w:rsid w:val="0F624AAC"/>
    <w:rsid w:val="11B52727"/>
    <w:rsid w:val="136A6246"/>
    <w:rsid w:val="139C4D34"/>
    <w:rsid w:val="1A5D1A8D"/>
    <w:rsid w:val="1C996105"/>
    <w:rsid w:val="1D3846FF"/>
    <w:rsid w:val="1F6D2BAD"/>
    <w:rsid w:val="1FE7674A"/>
    <w:rsid w:val="2350382F"/>
    <w:rsid w:val="25331290"/>
    <w:rsid w:val="255C7E12"/>
    <w:rsid w:val="2B24070A"/>
    <w:rsid w:val="2B794CCF"/>
    <w:rsid w:val="2E1F6396"/>
    <w:rsid w:val="31B1582E"/>
    <w:rsid w:val="32926003"/>
    <w:rsid w:val="334E1991"/>
    <w:rsid w:val="35AC0399"/>
    <w:rsid w:val="389C5B17"/>
    <w:rsid w:val="3A8543A7"/>
    <w:rsid w:val="3E8C6FA6"/>
    <w:rsid w:val="3EC71072"/>
    <w:rsid w:val="3EF9665E"/>
    <w:rsid w:val="40230EC6"/>
    <w:rsid w:val="42A21405"/>
    <w:rsid w:val="43B84ADC"/>
    <w:rsid w:val="452C57F4"/>
    <w:rsid w:val="479D332E"/>
    <w:rsid w:val="4A036A25"/>
    <w:rsid w:val="52AB5B68"/>
    <w:rsid w:val="53085077"/>
    <w:rsid w:val="57FE5A61"/>
    <w:rsid w:val="5BCB36A3"/>
    <w:rsid w:val="5CF67BFA"/>
    <w:rsid w:val="60BA3606"/>
    <w:rsid w:val="617E3F4E"/>
    <w:rsid w:val="681D0B32"/>
    <w:rsid w:val="6C3615CE"/>
    <w:rsid w:val="6DAD2981"/>
    <w:rsid w:val="6DC61676"/>
    <w:rsid w:val="6E2C3E74"/>
    <w:rsid w:val="6F192157"/>
    <w:rsid w:val="72B70911"/>
    <w:rsid w:val="75374EE7"/>
    <w:rsid w:val="75FC2C58"/>
    <w:rsid w:val="78B70FD0"/>
    <w:rsid w:val="7DA35D38"/>
    <w:rsid w:val="7ECF7295"/>
    <w:rsid w:val="7FA9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650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B01650"/>
    <w:pPr>
      <w:ind w:leftChars="2500" w:left="2500"/>
    </w:pPr>
  </w:style>
  <w:style w:type="paragraph" w:styleId="a4">
    <w:name w:val="footer"/>
    <w:basedOn w:val="a"/>
    <w:qFormat/>
    <w:rsid w:val="00B01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01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01650"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B016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B01650"/>
    <w:rPr>
      <w:color w:val="0000FF" w:themeColor="hyperlink"/>
      <w:u w:val="single"/>
    </w:rPr>
  </w:style>
  <w:style w:type="paragraph" w:customStyle="1" w:styleId="1">
    <w:name w:val="列出段落1"/>
    <w:basedOn w:val="a"/>
    <w:qFormat/>
    <w:rsid w:val="00B01650"/>
    <w:pPr>
      <w:ind w:firstLineChars="200" w:firstLine="200"/>
    </w:pPr>
  </w:style>
  <w:style w:type="paragraph" w:customStyle="1" w:styleId="New">
    <w:name w:val="正文 New"/>
    <w:qFormat/>
    <w:rsid w:val="00B0165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rsid w:val="00B016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nyongxinxi@126.com&#65289;&#65292;&#20197;&#37038;&#31665;&#25509;&#25910;&#26085;&#26399;&#20026;&#20934;.(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13</cp:revision>
  <cp:lastPrinted>2021-04-12T07:34:00Z</cp:lastPrinted>
  <dcterms:created xsi:type="dcterms:W3CDTF">2020-03-08T06:40:00Z</dcterms:created>
  <dcterms:modified xsi:type="dcterms:W3CDTF">2021-04-15T02:52:00Z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F4F09D04855E4E6C972B4F94863E6FD4</vt:lpwstr>
  </property>
</Properties>
</file>