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关于202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第四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季度长白县政府门户网站信息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报送和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政务新媒体检查情况的通报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数字长白办 〔2024〕1号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各乡镇人民政府、县直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中省直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为加强我县政府网站建设和政务新媒体管理，按照国办、省、市有关政府网站和政务新媒体工作要求，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现将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县政府门户网站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信息采用情况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与政务新媒体工作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检查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情况通报如下：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一、政府网站信息报送工作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2023年第四季度，长白县政府门户网站共收到各乡镇、部门报送信息268条，采用信息171条，整体报送情况良好。但同时也存在部分个别部门信息报送数量较少甚至“0”报送现象。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望各单位高度重视政府网站信息报送工作，做到及时撰稿、避免批量集中上报，注意时效性；切实保证县政府网站信息质量,杜绝信息“0”报送情况发生。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二、政务新媒体工作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截至目前，全县共开设政务新媒体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账号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个，其中微信公众号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个、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新浪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微博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个、抖音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1个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。我县开设政务新媒体的单位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多数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都能严格按照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相关要求，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做好本单位政务新媒体保障工作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，并及时落实国办要求的转载工作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也存在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个别单位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因超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期未更新导致不合格的现象。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按照国办通知要求，我省启动202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每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季度全省政务新媒体抽查检查工作。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全市第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季度检查中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我县个别单位因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超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期未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更新而被通报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政务新媒体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承办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单位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及时更新信息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，至少保证每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周更新1条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信息，避免在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2024年第一季度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全市检查中被通报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请各单位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维护好本单位政务新媒体账号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，多账号的予以整合；无力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维护的政务新媒体账号，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在第三方平台上完成注销后，在全国政务新媒体平台申请关停，并及时向我单位报备，以便在后台做关停处理，避免监管外运行。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38" w:leftChars="304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38" w:leftChars="304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附件：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2023年第四季度长白县政府门户网站信息采用情况表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38" w:leftChars="304" w:right="0" w:firstLine="1200" w:firstLineChars="5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存在问题的政务新媒体名单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长白朝鲜族自治县“数字长白”建设领导小组办公室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（长白朝鲜族自治县政务服务和数字化建设管理局代章）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0" w:firstLineChars="2000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2024年1月15日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line="680" w:lineRule="exact"/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spacing w:line="680" w:lineRule="exact"/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spacing w:line="680" w:lineRule="exact"/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spacing w:line="680" w:lineRule="exact"/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spacing w:line="680" w:lineRule="exact"/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spacing w:line="680" w:lineRule="exact"/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</w:p>
    <w:p>
      <w:pPr>
        <w:spacing w:line="680" w:lineRule="exact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pacing w:line="68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2023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年第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季度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长白县政府门户网站</w:t>
      </w:r>
    </w:p>
    <w:p>
      <w:pPr>
        <w:spacing w:line="68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信息采用情况表</w:t>
      </w:r>
    </w:p>
    <w:p>
      <w:pPr>
        <w:spacing w:line="560" w:lineRule="exact"/>
        <w:jc w:val="both"/>
        <w:rPr>
          <w:rStyle w:val="8"/>
          <w:rFonts w:hint="eastAsia" w:ascii="宋体" w:hAnsi="宋体" w:eastAsia="宋体"/>
          <w:sz w:val="32"/>
          <w:szCs w:val="32"/>
        </w:rPr>
      </w:pPr>
    </w:p>
    <w:p>
      <w:pPr>
        <w:spacing w:line="560" w:lineRule="exact"/>
        <w:jc w:val="center"/>
        <w:rPr>
          <w:rStyle w:val="8"/>
          <w:rFonts w:hint="eastAsia" w:ascii="宋体" w:hAnsi="宋体" w:eastAsia="宋体"/>
          <w:sz w:val="24"/>
          <w:szCs w:val="24"/>
        </w:rPr>
      </w:pPr>
      <w:r>
        <w:rPr>
          <w:rStyle w:val="8"/>
          <w:rFonts w:hint="eastAsia" w:ascii="宋体" w:hAnsi="宋体" w:eastAsia="宋体"/>
          <w:sz w:val="24"/>
          <w:szCs w:val="24"/>
        </w:rPr>
        <w:t>乡 镇 统 计</w:t>
      </w:r>
    </w:p>
    <w:p>
      <w:pPr>
        <w:spacing w:line="560" w:lineRule="exact"/>
        <w:jc w:val="both"/>
        <w:rPr>
          <w:rStyle w:val="8"/>
          <w:rFonts w:ascii="宋体" w:hAnsi="宋体" w:eastAsia="宋体"/>
          <w:sz w:val="32"/>
          <w:szCs w:val="32"/>
        </w:rPr>
      </w:pPr>
    </w:p>
    <w:tbl>
      <w:tblPr>
        <w:tblStyle w:val="5"/>
        <w:tblW w:w="8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3229"/>
        <w:gridCol w:w="2355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排名</w:t>
            </w:r>
          </w:p>
        </w:tc>
        <w:tc>
          <w:tcPr>
            <w:tcW w:w="3229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单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位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Style w:val="8"/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报送量（条）</w:t>
            </w:r>
          </w:p>
        </w:tc>
        <w:tc>
          <w:tcPr>
            <w:tcW w:w="2201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采用量（条）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eastAsia" w:ascii="宋体" w:hAnsi="宋体" w:eastAsia="宋体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十二道沟镇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eastAsia" w:ascii="宋体" w:hAnsi="宋体" w:eastAsia="宋体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theme="minorBidi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八道沟镇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eastAsia" w:ascii="宋体" w:hAnsi="宋体" w:eastAsia="宋体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2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theme="minorBidi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/>
                <w:b w:val="0"/>
                <w:color w:val="auto"/>
                <w:sz w:val="28"/>
                <w:szCs w:val="28"/>
                <w:vertAlign w:val="baseline"/>
                <w:lang w:eastAsia="zh-CN"/>
              </w:rPr>
              <w:t>马鹿沟镇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eastAsia" w:ascii="宋体" w:hAnsi="宋体" w:eastAsia="宋体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金华乡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default" w:ascii="宋体" w:hAnsi="宋体" w:eastAsia="宋体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十四道沟镇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default" w:ascii="宋体" w:hAnsi="宋体" w:eastAsia="宋体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宝泉山镇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default" w:ascii="宋体" w:hAnsi="宋体" w:eastAsia="宋体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长白镇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default" w:ascii="宋体" w:hAnsi="宋体" w:eastAsia="宋体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新房子镇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jc w:val="both"/>
        <w:rPr>
          <w:rStyle w:val="8"/>
          <w:rFonts w:hint="eastAsia" w:ascii="宋体" w:hAnsi="宋体" w:eastAsia="宋体"/>
          <w:sz w:val="32"/>
          <w:szCs w:val="32"/>
        </w:rPr>
      </w:pPr>
    </w:p>
    <w:p>
      <w:pPr>
        <w:spacing w:line="560" w:lineRule="exact"/>
        <w:jc w:val="center"/>
        <w:rPr>
          <w:rStyle w:val="8"/>
          <w:rFonts w:hint="eastAsia" w:ascii="宋体" w:hAnsi="宋体" w:eastAsia="宋体"/>
          <w:sz w:val="32"/>
          <w:szCs w:val="32"/>
        </w:rPr>
      </w:pPr>
    </w:p>
    <w:p>
      <w:pPr>
        <w:spacing w:line="560" w:lineRule="exact"/>
        <w:jc w:val="center"/>
        <w:rPr>
          <w:rStyle w:val="8"/>
          <w:rFonts w:hint="eastAsia" w:ascii="宋体" w:hAnsi="宋体" w:eastAsia="宋体"/>
          <w:sz w:val="32"/>
          <w:szCs w:val="32"/>
        </w:rPr>
      </w:pPr>
    </w:p>
    <w:p>
      <w:pPr>
        <w:spacing w:line="560" w:lineRule="exact"/>
        <w:jc w:val="center"/>
        <w:rPr>
          <w:rStyle w:val="8"/>
          <w:rFonts w:hint="eastAsia" w:ascii="宋体" w:hAnsi="宋体" w:eastAsia="宋体"/>
          <w:sz w:val="32"/>
          <w:szCs w:val="32"/>
        </w:rPr>
      </w:pPr>
    </w:p>
    <w:p>
      <w:pPr>
        <w:spacing w:line="560" w:lineRule="exact"/>
        <w:jc w:val="center"/>
        <w:rPr>
          <w:rStyle w:val="8"/>
          <w:rFonts w:hint="eastAsia" w:ascii="宋体" w:hAnsi="宋体" w:eastAsia="宋体"/>
          <w:sz w:val="32"/>
          <w:szCs w:val="32"/>
        </w:rPr>
      </w:pPr>
    </w:p>
    <w:p>
      <w:pPr>
        <w:spacing w:line="560" w:lineRule="exact"/>
        <w:jc w:val="center"/>
        <w:rPr>
          <w:rStyle w:val="8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8"/>
          <w:rFonts w:hint="eastAsia" w:asciiTheme="majorEastAsia" w:hAnsiTheme="majorEastAsia" w:eastAsiaTheme="majorEastAsia" w:cstheme="majorEastAsia"/>
          <w:sz w:val="24"/>
          <w:szCs w:val="24"/>
        </w:rPr>
        <w:t>县政府部门统计</w:t>
      </w:r>
    </w:p>
    <w:p>
      <w:pPr>
        <w:spacing w:line="560" w:lineRule="exact"/>
        <w:jc w:val="center"/>
        <w:rPr>
          <w:rStyle w:val="8"/>
          <w:rFonts w:ascii="宋体" w:hAnsi="宋体" w:eastAsia="宋体"/>
          <w:sz w:val="32"/>
          <w:szCs w:val="32"/>
        </w:rPr>
      </w:pPr>
    </w:p>
    <w:tbl>
      <w:tblPr>
        <w:tblStyle w:val="5"/>
        <w:tblW w:w="8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3229"/>
        <w:gridCol w:w="2355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排名</w:t>
            </w:r>
          </w:p>
        </w:tc>
        <w:tc>
          <w:tcPr>
            <w:tcW w:w="3229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单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位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Style w:val="8"/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报送量（条）</w:t>
            </w:r>
          </w:p>
        </w:tc>
        <w:tc>
          <w:tcPr>
            <w:tcW w:w="2201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采用量（条）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生态环境局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  <w:t>司法局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畜牧业管理中心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50"/>
              </w:tabs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税务局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default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eastAsia="zh-CN"/>
              </w:rPr>
              <w:t>公安局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default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eastAsia="zh-CN"/>
              </w:rPr>
              <w:t>林业局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default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  <w:t>人社局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default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卫健局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default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民政局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default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50"/>
              </w:tabs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住建局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default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应急局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default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eastAsia="zh-CN"/>
              </w:rPr>
              <w:t>审计局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default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长白森林经营局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default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农业农村局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default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  <w:t>市监局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default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教育局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default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交通运输局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default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信访局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default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商务局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发改局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default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退役军人事务局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default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检察院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default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法院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default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自然资源局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default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水利局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default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文旅局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default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工信局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default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供销合作社联合社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default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财政局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default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医保局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hint="default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长白经济开发区管委会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/>
                <w:b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10月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至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12月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依据上报量排名）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63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3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3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3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3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3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3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36"/>
        </w:tabs>
        <w:bidi w:val="0"/>
        <w:jc w:val="left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7"/>
        <w:tabs>
          <w:tab w:val="left" w:pos="4279"/>
        </w:tabs>
        <w:ind w:firstLine="0" w:firstLineChars="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附件 2            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ab/>
      </w:r>
    </w:p>
    <w:p>
      <w:pPr>
        <w:pStyle w:val="7"/>
        <w:ind w:firstLine="0" w:firstLineChars="0"/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存在突出问题的政务新媒体名单</w:t>
      </w:r>
    </w:p>
    <w:p>
      <w:pPr>
        <w:pStyle w:val="3"/>
        <w:rPr>
          <w:rFonts w:ascii="仿宋" w:hAnsi="仿宋" w:eastAsia="仿宋" w:cs="仿宋"/>
          <w:sz w:val="24"/>
          <w:szCs w:val="24"/>
        </w:rPr>
      </w:pPr>
      <w:r>
        <w:rPr>
          <w:rFonts w:hint="eastAsia"/>
        </w:rPr>
        <w:t xml:space="preserve">                                                       </w:t>
      </w:r>
      <w:r>
        <w:rPr>
          <w:rFonts w:hint="eastAsia" w:ascii="仿宋" w:hAnsi="仿宋" w:eastAsia="仿宋" w:cs="仿宋"/>
          <w:sz w:val="24"/>
          <w:szCs w:val="24"/>
        </w:rPr>
        <w:t>检查日期：2</w:t>
      </w:r>
      <w:r>
        <w:rPr>
          <w:rFonts w:ascii="仿宋" w:hAnsi="仿宋" w:eastAsia="仿宋" w:cs="仿宋"/>
          <w:sz w:val="24"/>
          <w:szCs w:val="24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23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29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306"/>
        <w:gridCol w:w="2459"/>
        <w:gridCol w:w="1154"/>
        <w:gridCol w:w="992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7" w:hRule="atLeast"/>
        </w:trPr>
        <w:tc>
          <w:tcPr>
            <w:tcW w:w="1111" w:type="dxa"/>
          </w:tcPr>
          <w:p>
            <w:pPr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80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账号名称</w:t>
            </w:r>
          </w:p>
        </w:tc>
        <w:tc>
          <w:tcPr>
            <w:tcW w:w="4282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开设主体</w:t>
            </w:r>
          </w:p>
        </w:tc>
        <w:tc>
          <w:tcPr>
            <w:tcW w:w="1789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账号类型</w:t>
            </w:r>
          </w:p>
        </w:tc>
        <w:tc>
          <w:tcPr>
            <w:tcW w:w="1479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检查结果</w:t>
            </w:r>
          </w:p>
        </w:tc>
        <w:tc>
          <w:tcPr>
            <w:tcW w:w="3155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长白县人社局</w:t>
            </w:r>
          </w:p>
        </w:tc>
        <w:tc>
          <w:tcPr>
            <w:tcW w:w="42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长白朝鲜族自治县人力资源和社会保障局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微信订阅号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不</w:t>
            </w:r>
            <w:r>
              <w:rPr>
                <w:rFonts w:hint="eastAsia"/>
                <w:szCs w:val="21"/>
                <w:highlight w:val="none"/>
              </w:rPr>
              <w:t>合格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检查两周之前未更新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注：超过一个月未更新的政务新媒体账号视为“睡眠账号”，超过三个月未更新的政务新媒体账号视为“僵尸账号”。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E7ED7"/>
    <w:rsid w:val="31BB3183"/>
    <w:rsid w:val="51CB2302"/>
    <w:rsid w:val="682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（缩进）"/>
    <w:basedOn w:val="1"/>
    <w:qFormat/>
    <w:uiPriority w:val="0"/>
    <w:pPr>
      <w:spacing w:before="156" w:after="156"/>
      <w:ind w:firstLine="480" w:firstLineChars="200"/>
    </w:pPr>
  </w:style>
  <w:style w:type="character" w:customStyle="1" w:styleId="8">
    <w:name w:val="style31"/>
    <w:basedOn w:val="6"/>
    <w:qFormat/>
    <w:uiPriority w:val="0"/>
    <w:rPr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2024-01-17T02:02:10Z</dcterms:created>
  <dc:creator>Administrator</dc:creator>
  <cp:lastModifiedBy>Administrator</cp:lastModifiedBy>
  <dcterms:modified xsi:type="dcterms:W3CDTF">2024-01-17T02:19:32Z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