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6" w:lineRule="exact"/>
        <w:jc w:val="center"/>
        <w:rPr>
          <w:rFonts w:ascii="方正小标宋简体" w:hAnsi="方正小标宋简体" w:eastAsia="方正小标宋简体" w:cs="方正小标宋简体"/>
          <w:sz w:val="44"/>
          <w:szCs w:val="44"/>
        </w:rPr>
      </w:pPr>
      <w:r>
        <w:rPr>
          <w:rFonts w:hint="eastAsia" w:asciiTheme="majorEastAsia" w:hAnsiTheme="majorEastAsia" w:eastAsiaTheme="majorEastAsia" w:cstheme="majorEastAsia"/>
          <w:b/>
          <w:bCs/>
          <w:kern w:val="0"/>
          <w:sz w:val="36"/>
          <w:szCs w:val="36"/>
        </w:rPr>
        <w:t>长白朝鲜族自治县</w:t>
      </w:r>
      <w:r>
        <w:rPr>
          <w:rFonts w:hint="eastAsia" w:asciiTheme="majorEastAsia" w:hAnsiTheme="majorEastAsia" w:eastAsiaTheme="majorEastAsia" w:cstheme="majorEastAsia"/>
          <w:b/>
          <w:bCs/>
          <w:color w:val="000000"/>
          <w:kern w:val="0"/>
          <w:sz w:val="36"/>
          <w:szCs w:val="36"/>
        </w:rPr>
        <w:t>政策解读工作办法</w:t>
      </w:r>
    </w:p>
    <w:p>
      <w:pPr>
        <w:widowControl/>
        <w:spacing w:line="576" w:lineRule="exact"/>
        <w:ind w:firstLine="480" w:firstLineChars="200"/>
        <w:jc w:val="left"/>
        <w:rPr>
          <w:rFonts w:ascii="仿宋_GB2312" w:hAnsi="仿宋_GB2312" w:eastAsia="仿宋_GB2312" w:cs="仿宋_GB2312"/>
        </w:rPr>
      </w:pPr>
      <w:r>
        <w:rPr>
          <w:rFonts w:hint="eastAsia" w:ascii="仿宋_GB2312" w:hAnsi="仿宋_GB2312" w:eastAsia="仿宋_GB2312" w:cs="仿宋_GB2312"/>
          <w:kern w:val="0"/>
          <w:sz w:val="24"/>
        </w:rPr>
        <w:t>　　</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kern w:val="0"/>
          <w:sz w:val="24"/>
          <w:szCs w:val="24"/>
        </w:rPr>
        <w:t>第</w:t>
      </w:r>
      <w:r>
        <w:rPr>
          <w:rFonts w:hint="eastAsia" w:asciiTheme="minorEastAsia" w:hAnsiTheme="minorEastAsia" w:eastAsiaTheme="minorEastAsia" w:cstheme="minorEastAsia"/>
          <w:b/>
          <w:kern w:val="0"/>
          <w:sz w:val="24"/>
          <w:szCs w:val="24"/>
        </w:rPr>
        <w:t xml:space="preserve">一条 </w:t>
      </w:r>
      <w:r>
        <w:rPr>
          <w:rFonts w:hint="eastAsia" w:asciiTheme="minorEastAsia" w:hAnsiTheme="minorEastAsia" w:eastAsiaTheme="minorEastAsia" w:cstheme="minorEastAsia"/>
          <w:kern w:val="0"/>
          <w:sz w:val="24"/>
          <w:szCs w:val="24"/>
        </w:rPr>
        <w:t>为进一步加强和规范政策文件解读工作，增进公众对政府重大决策、重要政策的理解和认同，增强政府公信力和执行力，</w:t>
      </w:r>
      <w:r>
        <w:rPr>
          <w:rFonts w:hint="eastAsia" w:asciiTheme="minorEastAsia" w:hAnsiTheme="minorEastAsia" w:eastAsiaTheme="minorEastAsia" w:cstheme="minorEastAsia"/>
          <w:color w:val="000000"/>
          <w:kern w:val="0"/>
          <w:sz w:val="24"/>
          <w:szCs w:val="24"/>
        </w:rPr>
        <w:t>根据</w:t>
      </w:r>
      <w:r>
        <w:rPr>
          <w:rFonts w:hint="eastAsia" w:asciiTheme="minorEastAsia" w:hAnsiTheme="minorEastAsia" w:eastAsiaTheme="minorEastAsia" w:cstheme="minorEastAsia"/>
          <w:sz w:val="24"/>
          <w:szCs w:val="24"/>
        </w:rPr>
        <w:t>《省直行政机关政策解读质量考评工作实施办法》（吉政公组办〔2020〕14号）及《白山市市直行政机关政策解读工作办法》</w:t>
      </w:r>
      <w:r>
        <w:rPr>
          <w:rFonts w:hint="eastAsia" w:asciiTheme="minorEastAsia" w:hAnsiTheme="minorEastAsia" w:eastAsiaTheme="minorEastAsia" w:cstheme="minorEastAsia"/>
          <w:color w:val="000000"/>
          <w:kern w:val="0"/>
          <w:sz w:val="24"/>
          <w:szCs w:val="24"/>
        </w:rPr>
        <w:t>，结合我县实际，制定本办法。</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color w:val="000000"/>
          <w:kern w:val="0"/>
          <w:sz w:val="24"/>
          <w:szCs w:val="24"/>
        </w:rPr>
        <w:t xml:space="preserve">第二条 </w:t>
      </w:r>
      <w:r>
        <w:rPr>
          <w:rFonts w:hint="eastAsia" w:asciiTheme="minorEastAsia" w:hAnsiTheme="minorEastAsia" w:eastAsiaTheme="minorEastAsia" w:cstheme="minorEastAsia"/>
          <w:color w:val="000000"/>
          <w:kern w:val="0"/>
          <w:sz w:val="24"/>
          <w:szCs w:val="24"/>
        </w:rPr>
        <w:t>县政务公开（政府信息公开）领导小组办公室负责指导、协调、推进、监督相关政策解读工作，并将政策解读工作作为政务公开工作的重要内容纳入年度绩效考核范围。</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kern w:val="0"/>
          <w:sz w:val="24"/>
          <w:szCs w:val="24"/>
        </w:rPr>
        <w:t xml:space="preserve">第三条 </w:t>
      </w:r>
      <w:r>
        <w:rPr>
          <w:rFonts w:hint="eastAsia" w:asciiTheme="minorEastAsia" w:hAnsiTheme="minorEastAsia" w:eastAsiaTheme="minorEastAsia" w:cstheme="minorEastAsia"/>
          <w:color w:val="000000"/>
          <w:kern w:val="0"/>
          <w:sz w:val="24"/>
          <w:szCs w:val="24"/>
        </w:rPr>
        <w:t>政策解读实行“谁起草、谁解读”原则。政策文件起草单位是政策解读工作的责任主体；联合制发的政策文件，由牵头起草单位会同联合发文单位进行政策解读，符合下列情形之一的，应当进行解读：</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（一）县政府规章；</w:t>
      </w: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（二）以县政府或县政府办公室名义印发，涉及公民、法人和其他组织切身利益、需社会公众广泛知晓的重要政策性文件、行政规范性文件；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（三）以部门名义制定印发，涉及公民、法人和其他组织切身利益、需社会公众广泛知晓的重要政策性文件、行政规范性文件；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（四）政策的起草和制定部门认为有必要解读的。</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kern w:val="0"/>
          <w:sz w:val="24"/>
          <w:szCs w:val="24"/>
        </w:rPr>
        <w:t xml:space="preserve">第四条 </w:t>
      </w:r>
      <w:r>
        <w:rPr>
          <w:rFonts w:hint="eastAsia" w:asciiTheme="minorEastAsia" w:hAnsiTheme="minorEastAsia" w:eastAsiaTheme="minorEastAsia" w:cstheme="minorEastAsia"/>
          <w:color w:val="000000"/>
          <w:kern w:val="0"/>
          <w:sz w:val="24"/>
          <w:szCs w:val="24"/>
        </w:rPr>
        <w:t>解读材料以文字表述为主，解读内容通俗易懂，可通过案例、数据、答问等方式进行形象化、简明化解读；在文字材料的基础上，采用如政策问答、政策解读图片、新闻发布会等展现方式，使解读材料更利读、易懂，要求至少使用2种形式进行政策解读。</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rPr>
        <w:t>解读材料应当包括以下主要内容：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（一）制发政策的背景依据、目标任务、主要内容、涉及范围、注意事项、惠民利民举措以及政策预公开时社会公众集中反馈的意见采纳情况等；</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（二）对政策中的关键词、专业术语，以及社会公众可能误解、质疑的内容进行诠释；</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（三）涉及具体办理事项的，提供办事指南，列明受理单位及其地址、联系方式、办事条件、资料、程序、时限以及其他注意事项；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（四）涉及执法事项的，说明执行范围、执行程序、执行标准等；</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（五）对原有政策进行修订的，说明修订的理由和新旧政策的衔接和差异；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（六）贯彻执行上级政策的，说明本级政策措施的特点和创新点。</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kern w:val="0"/>
          <w:sz w:val="24"/>
          <w:szCs w:val="24"/>
        </w:rPr>
        <w:t xml:space="preserve">第五条 </w:t>
      </w:r>
      <w:r>
        <w:rPr>
          <w:rFonts w:hint="eastAsia" w:asciiTheme="minorEastAsia" w:hAnsiTheme="minorEastAsia" w:eastAsiaTheme="minorEastAsia" w:cstheme="minorEastAsia"/>
          <w:color w:val="000000"/>
          <w:kern w:val="0"/>
          <w:sz w:val="24"/>
          <w:szCs w:val="24"/>
        </w:rPr>
        <w:t>起草部门要建立解读材料发布审核机制，由科室负责人、科室分管领导、部门主要领导，从政治、法律、政策、保密、文字、舆情等方面，对解读材料进行审核把关。未经审核的，一律不得对外发布。</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kern w:val="0"/>
          <w:sz w:val="24"/>
          <w:szCs w:val="24"/>
        </w:rPr>
        <w:t xml:space="preserve">第六条 </w:t>
      </w:r>
      <w:r>
        <w:rPr>
          <w:rFonts w:hint="eastAsia" w:asciiTheme="minorEastAsia" w:hAnsiTheme="minorEastAsia" w:eastAsiaTheme="minorEastAsia" w:cstheme="minorEastAsia"/>
          <w:bCs/>
          <w:color w:val="000000"/>
          <w:kern w:val="0"/>
          <w:sz w:val="24"/>
          <w:szCs w:val="24"/>
        </w:rPr>
        <w:t>县</w:t>
      </w:r>
      <w:r>
        <w:rPr>
          <w:rFonts w:hint="eastAsia" w:asciiTheme="minorEastAsia" w:hAnsiTheme="minorEastAsia" w:eastAsiaTheme="minorEastAsia" w:cstheme="minorEastAsia"/>
          <w:color w:val="000000"/>
          <w:kern w:val="0"/>
          <w:sz w:val="24"/>
          <w:szCs w:val="24"/>
        </w:rPr>
        <w:t>政府门户网站是政策解读公开发布第一平台，集中发布解读材料。各部门要注重拓展解读平台，通过微博、</w:t>
      </w:r>
      <w:r>
        <w:rPr>
          <w:rFonts w:hint="eastAsia" w:asciiTheme="minorEastAsia" w:hAnsiTheme="minorEastAsia" w:eastAsiaTheme="minorEastAsia" w:cstheme="minorEastAsia"/>
          <w:kern w:val="0"/>
          <w:sz w:val="24"/>
          <w:szCs w:val="24"/>
        </w:rPr>
        <w:t>微信、移动客户端等政务新媒体平台发布政策解读。　</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kern w:val="0"/>
          <w:sz w:val="24"/>
          <w:szCs w:val="24"/>
        </w:rPr>
        <w:t xml:space="preserve">第七条 </w:t>
      </w:r>
      <w:r>
        <w:rPr>
          <w:rFonts w:hint="eastAsia" w:asciiTheme="minorEastAsia" w:hAnsiTheme="minorEastAsia" w:eastAsiaTheme="minorEastAsia" w:cstheme="minorEastAsia"/>
          <w:color w:val="000000"/>
          <w:kern w:val="0"/>
          <w:sz w:val="24"/>
          <w:szCs w:val="24"/>
        </w:rPr>
        <w:t>对于出台与宏观经济和民生关系密切的重要政策，起草部门或牵头部门相关负责同志应带头解读，传递权威信息。</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color w:val="000000"/>
          <w:kern w:val="0"/>
          <w:sz w:val="24"/>
          <w:szCs w:val="24"/>
        </w:rPr>
        <w:t xml:space="preserve">第八条 </w:t>
      </w:r>
      <w:r>
        <w:rPr>
          <w:rFonts w:hint="eastAsia" w:asciiTheme="minorEastAsia" w:hAnsiTheme="minorEastAsia" w:eastAsiaTheme="minorEastAsia" w:cstheme="minorEastAsia"/>
          <w:color w:val="000000"/>
          <w:kern w:val="0"/>
          <w:sz w:val="24"/>
          <w:szCs w:val="24"/>
        </w:rPr>
        <w:t>以县政府或县政府办公室名义印发的政策性文件，没有解读方案和解读材料，或者解读内容不全的，县政府办公室将实行退文处理;以部门名义印发的政策性文件，没有解读方案和解读材料，或者解读内容不全的，县政府信息公开主管部门督促起草部门整改。</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kern w:val="0"/>
          <w:sz w:val="24"/>
          <w:szCs w:val="24"/>
        </w:rPr>
        <w:t xml:space="preserve">第九条 </w:t>
      </w:r>
      <w:r>
        <w:rPr>
          <w:rFonts w:hint="eastAsia" w:asciiTheme="minorEastAsia" w:hAnsiTheme="minorEastAsia" w:eastAsiaTheme="minorEastAsia" w:cstheme="minorEastAsia"/>
          <w:color w:val="000000"/>
          <w:kern w:val="0"/>
          <w:sz w:val="24"/>
          <w:szCs w:val="24"/>
        </w:rPr>
        <w:t>政策执行过程中，关注政策文件及解读信息公开后的社会舆情反映，认真研判，主动跟进，分段、多次、持续开展解读，防止政策文件和解读信息被误读误解。</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kern w:val="0"/>
          <w:sz w:val="24"/>
          <w:szCs w:val="24"/>
        </w:rPr>
        <w:t xml:space="preserve">第十条 </w:t>
      </w:r>
      <w:r>
        <w:rPr>
          <w:rFonts w:hint="eastAsia" w:asciiTheme="minorEastAsia" w:hAnsiTheme="minorEastAsia" w:eastAsiaTheme="minorEastAsia" w:cstheme="minorEastAsia"/>
          <w:bCs/>
          <w:color w:val="000000"/>
          <w:kern w:val="0"/>
          <w:sz w:val="24"/>
          <w:szCs w:val="24"/>
        </w:rPr>
        <w:t>县</w:t>
      </w:r>
      <w:r>
        <w:rPr>
          <w:rFonts w:hint="eastAsia" w:asciiTheme="minorEastAsia" w:hAnsiTheme="minorEastAsia" w:eastAsiaTheme="minorEastAsia" w:cstheme="minorEastAsia"/>
          <w:color w:val="000000"/>
          <w:kern w:val="0"/>
          <w:sz w:val="24"/>
          <w:szCs w:val="24"/>
        </w:rPr>
        <w:t>政务公开（政府信息公开）领导小组办公室负责做好政策解读发布情况的绩效考评工作，因部门工作原因，致使文件发布与解读材料不同步不及时，或政策解读文件流</w:t>
      </w:r>
      <w:r>
        <w:rPr>
          <w:rFonts w:hint="eastAsia" w:asciiTheme="minorEastAsia" w:hAnsiTheme="minorEastAsia" w:eastAsiaTheme="minorEastAsia" w:cstheme="minorEastAsia"/>
          <w:kern w:val="0"/>
          <w:sz w:val="24"/>
          <w:szCs w:val="24"/>
        </w:rPr>
        <w:t>于形式，解读内容不全面、解读方式单一，缺少权威解读、敷衍塞责被国家和省市通报批评的，绩效考评时扣除相应分值。</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kern w:val="0"/>
          <w:sz w:val="24"/>
          <w:szCs w:val="24"/>
        </w:rPr>
        <w:t xml:space="preserve">第十一条 </w:t>
      </w:r>
      <w:r>
        <w:rPr>
          <w:rFonts w:hint="eastAsia" w:asciiTheme="minorEastAsia" w:hAnsiTheme="minorEastAsia" w:eastAsiaTheme="minorEastAsia" w:cstheme="minorEastAsia"/>
          <w:color w:val="000000"/>
          <w:kern w:val="0"/>
          <w:sz w:val="24"/>
          <w:szCs w:val="24"/>
        </w:rPr>
        <w:t>本办法自印发之日起施行。</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p>
    <w:p>
      <w:pPr>
        <w:keepNext w:val="0"/>
        <w:keepLines w:val="0"/>
        <w:pageBreakBefore w:val="0"/>
        <w:tabs>
          <w:tab w:val="left" w:pos="4808"/>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sectPr>
      <w:footerReference r:id="rId3" w:type="default"/>
      <w:pgSz w:w="11906" w:h="16838"/>
      <w:pgMar w:top="1440" w:right="1800" w:bottom="1440" w:left="1800"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path/>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- 2 -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IxOTkzZWIzM2EyMTZmODc2NjAzNDczNzk0MGVmNDIifQ=="/>
  </w:docVars>
  <w:rsids>
    <w:rsidRoot w:val="6DBB2255"/>
    <w:rsid w:val="0018256E"/>
    <w:rsid w:val="003B7122"/>
    <w:rsid w:val="003F067C"/>
    <w:rsid w:val="005364CD"/>
    <w:rsid w:val="008018B1"/>
    <w:rsid w:val="00A60966"/>
    <w:rsid w:val="00D249C0"/>
    <w:rsid w:val="00E4415C"/>
    <w:rsid w:val="00FD2DBE"/>
    <w:rsid w:val="072A3957"/>
    <w:rsid w:val="09FD9422"/>
    <w:rsid w:val="0CA86910"/>
    <w:rsid w:val="12ED1816"/>
    <w:rsid w:val="1854447D"/>
    <w:rsid w:val="1A76E79E"/>
    <w:rsid w:val="1F765BE2"/>
    <w:rsid w:val="22C75BE0"/>
    <w:rsid w:val="267ADD7D"/>
    <w:rsid w:val="2F6F82CA"/>
    <w:rsid w:val="3CFBC9A0"/>
    <w:rsid w:val="4E604FB7"/>
    <w:rsid w:val="4EFF3DDF"/>
    <w:rsid w:val="53FE3E64"/>
    <w:rsid w:val="59FA8DCD"/>
    <w:rsid w:val="5A6FA173"/>
    <w:rsid w:val="5BEF30E6"/>
    <w:rsid w:val="63FFE635"/>
    <w:rsid w:val="652B7603"/>
    <w:rsid w:val="68AFDBFE"/>
    <w:rsid w:val="6DBB2255"/>
    <w:rsid w:val="6DFA1671"/>
    <w:rsid w:val="6FF72D9C"/>
    <w:rsid w:val="77CB4BD2"/>
    <w:rsid w:val="77CC58E2"/>
    <w:rsid w:val="77EFD7E2"/>
    <w:rsid w:val="79635301"/>
    <w:rsid w:val="799BE4B1"/>
    <w:rsid w:val="79FBD3A4"/>
    <w:rsid w:val="7B9954A1"/>
    <w:rsid w:val="7BE91002"/>
    <w:rsid w:val="7CF60B7A"/>
    <w:rsid w:val="7DED9C1C"/>
    <w:rsid w:val="7EFC9399"/>
    <w:rsid w:val="7FB7F9E5"/>
    <w:rsid w:val="7FCF1C27"/>
    <w:rsid w:val="7FD875EE"/>
    <w:rsid w:val="7FDF3559"/>
    <w:rsid w:val="7FFFACE0"/>
    <w:rsid w:val="AAAF4C14"/>
    <w:rsid w:val="ADFF29DA"/>
    <w:rsid w:val="B7DE1201"/>
    <w:rsid w:val="BAFF1BD8"/>
    <w:rsid w:val="BBB59F54"/>
    <w:rsid w:val="BBDFA1C3"/>
    <w:rsid w:val="BBFFD279"/>
    <w:rsid w:val="BD69A2BC"/>
    <w:rsid w:val="BFFF3598"/>
    <w:rsid w:val="C71F528A"/>
    <w:rsid w:val="C76B3DC9"/>
    <w:rsid w:val="DB5DA2AF"/>
    <w:rsid w:val="DD7B16D8"/>
    <w:rsid w:val="E5F9BBB6"/>
    <w:rsid w:val="EBFF3FAD"/>
    <w:rsid w:val="EEEE40D7"/>
    <w:rsid w:val="EFBF0E91"/>
    <w:rsid w:val="EFDF17F5"/>
    <w:rsid w:val="EFFBAA69"/>
    <w:rsid w:val="F4BAC1B7"/>
    <w:rsid w:val="F57120BE"/>
    <w:rsid w:val="F73E9062"/>
    <w:rsid w:val="F76E41F2"/>
    <w:rsid w:val="F77E3CBD"/>
    <w:rsid w:val="F7DB9FA9"/>
    <w:rsid w:val="F97780A6"/>
    <w:rsid w:val="F9BDF400"/>
    <w:rsid w:val="F9FF13C8"/>
    <w:rsid w:val="FDDD5D11"/>
    <w:rsid w:val="FEEF78D4"/>
    <w:rsid w:val="FEFDD568"/>
    <w:rsid w:val="FF7B8B67"/>
    <w:rsid w:val="FFD722B2"/>
    <w:rsid w:val="FFDE53C7"/>
    <w:rsid w:val="FFDF0F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jc w:val="center"/>
      <w:outlineLvl w:val="0"/>
    </w:pPr>
    <w:rPr>
      <w:rFonts w:eastAsia="方正小标宋_GBK"/>
      <w:kern w:val="44"/>
      <w:sz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100" w:beforeAutospacing="1" w:after="100" w:afterAutospacing="1"/>
      <w:jc w:val="left"/>
    </w:pPr>
    <w:rPr>
      <w:kern w:val="0"/>
      <w:sz w:val="24"/>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214</Words>
  <Characters>1225</Characters>
  <Lines>10</Lines>
  <Paragraphs>2</Paragraphs>
  <TotalTime>20</TotalTime>
  <ScaleCrop>false</ScaleCrop>
  <LinksUpToDate>false</LinksUpToDate>
  <CharactersWithSpaces>1437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2023-05-01T04:15:00Z</dcterms:created>
  <dc:creator>zsj-003</dc:creator>
  <cp:lastModifiedBy>Administrator</cp:lastModifiedBy>
  <cp:lastPrinted>2023-05-18T18:07:00Z</cp:lastPrinted>
  <dcterms:modified xsi:type="dcterms:W3CDTF">2024-02-23T06:07:26Z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BC66876F56694C44B4F70B60C782EFA3_13</vt:lpwstr>
  </property>
</Properties>
</file>